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FB" w:rsidRPr="00D10BFB" w:rsidRDefault="000C29F6" w:rsidP="00D10BF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gobCL" w:eastAsia="Times New Roman" w:hAnsi="gobCL" w:cs="Times New Roman"/>
          <w:b/>
          <w:color w:val="17365D"/>
          <w:spacing w:val="5"/>
          <w:kern w:val="28"/>
          <w:sz w:val="28"/>
          <w:szCs w:val="24"/>
          <w:u w:val="single"/>
        </w:rPr>
      </w:pPr>
      <w:r>
        <w:rPr>
          <w:rFonts w:ascii="gobCL" w:eastAsia="Times New Roman" w:hAnsi="gobCL" w:cs="Times New Roman"/>
          <w:b/>
          <w:color w:val="17365D"/>
          <w:spacing w:val="5"/>
          <w:kern w:val="28"/>
          <w:sz w:val="28"/>
          <w:szCs w:val="24"/>
        </w:rPr>
        <w:t>PLA</w:t>
      </w:r>
      <w:r w:rsidR="00531143">
        <w:rPr>
          <w:rFonts w:ascii="gobCL" w:eastAsia="Times New Roman" w:hAnsi="gobCL" w:cs="Times New Roman"/>
          <w:b/>
          <w:color w:val="17365D"/>
          <w:spacing w:val="5"/>
          <w:kern w:val="28"/>
          <w:sz w:val="28"/>
          <w:szCs w:val="24"/>
        </w:rPr>
        <w:t>N DE COMUNICACIÓN Y CONSULTA</w:t>
      </w:r>
    </w:p>
    <w:p w:rsidR="00D07187" w:rsidRPr="000B1547" w:rsidRDefault="00D07187" w:rsidP="00D07187">
      <w:pPr>
        <w:spacing w:line="240" w:lineRule="auto"/>
        <w:rPr>
          <w:rFonts w:ascii="gobCL" w:eastAsia="Times New Roman" w:hAnsi="gobCL"/>
          <w:i/>
          <w:iCs/>
          <w:color w:val="4F81BD"/>
          <w:spacing w:val="15"/>
          <w:sz w:val="2"/>
          <w:szCs w:val="24"/>
        </w:rPr>
      </w:pPr>
    </w:p>
    <w:p w:rsidR="00D10BFB" w:rsidRPr="001A7DA6" w:rsidRDefault="00D10BFB" w:rsidP="009E2CF8">
      <w:pPr>
        <w:spacing w:line="240" w:lineRule="auto"/>
        <w:jc w:val="both"/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 w:rsidRPr="001A7DA6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Objetivo de la gestión de riesgos: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 w:rsidRPr="001A7DA6">
        <w:rPr>
          <w:rFonts w:ascii="gobCL" w:hAnsi="gobCL" w:cs="Tahoma"/>
          <w:szCs w:val="20"/>
        </w:rPr>
        <w:t xml:space="preserve">El proceso de gestión de riesgos </w:t>
      </w:r>
      <w:r w:rsidR="00C7573C">
        <w:rPr>
          <w:rFonts w:ascii="gobCL" w:hAnsi="gobCL" w:cs="Tahoma"/>
          <w:szCs w:val="20"/>
        </w:rPr>
        <w:t xml:space="preserve">(PGR) </w:t>
      </w:r>
      <w:r w:rsidRPr="001A7DA6">
        <w:rPr>
          <w:rFonts w:ascii="gobCL" w:hAnsi="gobCL" w:cs="Tahoma"/>
          <w:szCs w:val="20"/>
        </w:rPr>
        <w:t xml:space="preserve">tiene por objetivo identificar, evaluar, medir y reportar oportunidades y/o amenazas que impacten el logro de los objetivos estratégicos del Servicio. </w:t>
      </w:r>
    </w:p>
    <w:p w:rsidR="008A582A" w:rsidRDefault="008A582A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Es </w:t>
      </w:r>
      <w:r w:rsidR="009605A6">
        <w:rPr>
          <w:rFonts w:ascii="gobCL" w:hAnsi="gobCL" w:cs="Tahoma"/>
          <w:szCs w:val="20"/>
        </w:rPr>
        <w:t xml:space="preserve">llevado a cabo por el Departamento de </w:t>
      </w:r>
      <w:r w:rsidR="00B51A1C">
        <w:rPr>
          <w:rFonts w:ascii="gobCL" w:hAnsi="gobCL" w:cs="Tahoma"/>
          <w:szCs w:val="20"/>
        </w:rPr>
        <w:t>Planificación y Control</w:t>
      </w:r>
      <w:r w:rsidR="009605A6">
        <w:rPr>
          <w:rFonts w:ascii="gobCL" w:hAnsi="gobCL" w:cs="Tahoma"/>
          <w:szCs w:val="20"/>
        </w:rPr>
        <w:t xml:space="preserve"> Institucional, el cual a su vez tiene la Secretaría Ejecutiva del </w:t>
      </w:r>
      <w:r w:rsidR="001F1CAA">
        <w:rPr>
          <w:rFonts w:ascii="gobCL" w:hAnsi="gobCL" w:cs="Tahoma"/>
          <w:szCs w:val="20"/>
        </w:rPr>
        <w:t>Comité de Riesgos del Servicio. Su monitoreo es permanente y su reportabilidad es trimestral.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E</w:t>
      </w:r>
      <w:r w:rsidR="001F1CAA">
        <w:rPr>
          <w:rFonts w:ascii="gobCL" w:hAnsi="gobCL" w:cs="Tahoma"/>
          <w:szCs w:val="20"/>
        </w:rPr>
        <w:t>l</w:t>
      </w:r>
      <w:r>
        <w:rPr>
          <w:rFonts w:ascii="gobCL" w:hAnsi="gobCL" w:cs="Tahoma"/>
          <w:szCs w:val="20"/>
        </w:rPr>
        <w:t xml:space="preserve"> </w:t>
      </w:r>
      <w:r w:rsidR="00C7573C">
        <w:rPr>
          <w:rFonts w:ascii="gobCL" w:hAnsi="gobCL" w:cs="Tahoma"/>
          <w:szCs w:val="20"/>
        </w:rPr>
        <w:t xml:space="preserve">PGR </w:t>
      </w:r>
      <w:r>
        <w:rPr>
          <w:rFonts w:ascii="gobCL" w:hAnsi="gobCL" w:cs="Tahoma"/>
          <w:szCs w:val="20"/>
        </w:rPr>
        <w:t>consta de 4 fases, las cuales se detallan a continuación en el siguiente esquema:</w:t>
      </w:r>
    </w:p>
    <w:p w:rsidR="00D10BFB" w:rsidRDefault="00D10BFB" w:rsidP="00D10BFB">
      <w:pPr>
        <w:spacing w:line="240" w:lineRule="auto"/>
        <w:jc w:val="center"/>
        <w:rPr>
          <w:rFonts w:ascii="gobCL" w:hAnsi="gobCL" w:cs="Tahoma"/>
          <w:szCs w:val="20"/>
        </w:rPr>
      </w:pPr>
      <w:r>
        <w:rPr>
          <w:noProof/>
          <w:lang w:eastAsia="es-CL"/>
        </w:rPr>
        <w:drawing>
          <wp:inline distT="0" distB="0" distL="0" distR="0" wp14:anchorId="2AC2E459" wp14:editId="11BEEEBF">
            <wp:extent cx="4749735" cy="5705475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177" t="21450" r="29932" b="18983"/>
                    <a:stretch/>
                  </pic:blipFill>
                  <pic:spPr bwMode="auto">
                    <a:xfrm>
                      <a:off x="0" y="0"/>
                      <a:ext cx="4759428" cy="5717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BFB" w:rsidRDefault="00D10BFB" w:rsidP="009E2CF8">
      <w:pPr>
        <w:spacing w:line="240" w:lineRule="auto"/>
        <w:jc w:val="both"/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 w:rsidRPr="00EB19BD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Fase 1: Establecimiento del Contexto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En esta fase se contempla el establecimiento de los contextos estratégicos, organizacional</w:t>
      </w:r>
      <w:r w:rsidR="00AB2F8E">
        <w:rPr>
          <w:rFonts w:ascii="gobCL" w:hAnsi="gobCL" w:cs="Tahoma"/>
          <w:szCs w:val="20"/>
        </w:rPr>
        <w:t>es</w:t>
      </w:r>
      <w:r>
        <w:rPr>
          <w:rFonts w:ascii="gobCL" w:hAnsi="gobCL" w:cs="Tahoma"/>
          <w:szCs w:val="20"/>
        </w:rPr>
        <w:t xml:space="preserve"> y de gestión en los cuales tendrá lugar e</w:t>
      </w:r>
      <w:r w:rsidR="008173FC">
        <w:rPr>
          <w:rFonts w:ascii="gobCL" w:hAnsi="gobCL" w:cs="Tahoma"/>
          <w:szCs w:val="20"/>
        </w:rPr>
        <w:t>l Proceso de Gestión de Riesgos</w:t>
      </w:r>
      <w:r>
        <w:rPr>
          <w:rFonts w:ascii="gobCL" w:hAnsi="gobCL" w:cs="Tahoma"/>
          <w:szCs w:val="20"/>
        </w:rPr>
        <w:t>.</w:t>
      </w:r>
    </w:p>
    <w:p w:rsidR="00AB2F8E" w:rsidRPr="001D7196" w:rsidRDefault="00AB2F8E" w:rsidP="00AB2F8E">
      <w:pPr>
        <w:jc w:val="both"/>
        <w:rPr>
          <w:rFonts w:ascii="Arial" w:hAnsi="Arial" w:cs="Arial"/>
          <w:color w:val="000000"/>
        </w:rPr>
      </w:pPr>
      <w:r w:rsidRPr="001D7196">
        <w:rPr>
          <w:rFonts w:ascii="Arial" w:hAnsi="Arial" w:cs="Arial"/>
          <w:color w:val="000000"/>
        </w:rPr>
        <w:t xml:space="preserve">El Gobierno Regional es </w:t>
      </w:r>
      <w:r>
        <w:rPr>
          <w:rFonts w:ascii="Arial" w:hAnsi="Arial" w:cs="Arial"/>
          <w:color w:val="000000"/>
        </w:rPr>
        <w:t>el organismo</w:t>
      </w:r>
      <w:r w:rsidRPr="001D7196">
        <w:rPr>
          <w:rFonts w:ascii="Arial" w:hAnsi="Arial" w:cs="Arial"/>
          <w:color w:val="000000"/>
        </w:rPr>
        <w:t xml:space="preserve"> encargado de la administración</w:t>
      </w:r>
      <w:r>
        <w:rPr>
          <w:rFonts w:ascii="Arial" w:hAnsi="Arial" w:cs="Arial"/>
          <w:color w:val="000000"/>
        </w:rPr>
        <w:t xml:space="preserve"> superior de la Región. S</w:t>
      </w:r>
      <w:r w:rsidRPr="001D7196">
        <w:rPr>
          <w:rFonts w:ascii="Arial" w:hAnsi="Arial" w:cs="Arial"/>
          <w:color w:val="000000"/>
        </w:rPr>
        <w:t>e preocupa por el desarrollo armónico y equitativo del territorio, impulsando</w:t>
      </w:r>
      <w:r>
        <w:rPr>
          <w:rFonts w:ascii="Arial" w:hAnsi="Arial" w:cs="Arial"/>
          <w:color w:val="000000"/>
        </w:rPr>
        <w:t xml:space="preserve"> </w:t>
      </w:r>
      <w:r w:rsidRPr="001D7196">
        <w:rPr>
          <w:rFonts w:ascii="Arial" w:hAnsi="Arial" w:cs="Arial"/>
          <w:color w:val="000000"/>
        </w:rPr>
        <w:t>su progreso económico, social y cultural</w:t>
      </w:r>
      <w:r>
        <w:rPr>
          <w:rFonts w:ascii="Arial" w:hAnsi="Arial" w:cs="Arial"/>
          <w:color w:val="000000"/>
        </w:rPr>
        <w:t>,</w:t>
      </w:r>
      <w:r w:rsidRPr="001D7196">
        <w:rPr>
          <w:rFonts w:ascii="Arial" w:hAnsi="Arial" w:cs="Arial"/>
          <w:color w:val="000000"/>
        </w:rPr>
        <w:t xml:space="preserve"> tomando en cuenta la preservación y mejoramiento del</w:t>
      </w:r>
      <w:r>
        <w:rPr>
          <w:rFonts w:ascii="Arial" w:hAnsi="Arial" w:cs="Arial"/>
          <w:color w:val="000000"/>
        </w:rPr>
        <w:t xml:space="preserve"> </w:t>
      </w:r>
      <w:r w:rsidRPr="001D7196">
        <w:rPr>
          <w:rFonts w:ascii="Arial" w:hAnsi="Arial" w:cs="Arial"/>
          <w:color w:val="000000"/>
        </w:rPr>
        <w:t>medio ambiente y la participación de la comunidad.</w:t>
      </w:r>
      <w:r>
        <w:rPr>
          <w:rFonts w:ascii="Arial" w:hAnsi="Arial" w:cs="Arial"/>
          <w:color w:val="000000"/>
        </w:rPr>
        <w:t xml:space="preserve"> </w:t>
      </w:r>
    </w:p>
    <w:p w:rsidR="00AB2F8E" w:rsidRDefault="00AB2F8E" w:rsidP="00AB2F8E">
      <w:pPr>
        <w:jc w:val="both"/>
        <w:rPr>
          <w:rFonts w:ascii="Arial" w:hAnsi="Arial" w:cs="Arial"/>
          <w:color w:val="000000"/>
        </w:rPr>
      </w:pPr>
    </w:p>
    <w:p w:rsidR="00AB2F8E" w:rsidRDefault="00AB2F8E" w:rsidP="00AB2F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 misión es “</w:t>
      </w:r>
      <w:r w:rsidRPr="00836AEF">
        <w:rPr>
          <w:rFonts w:ascii="Arial" w:hAnsi="Arial" w:cs="Arial"/>
          <w:color w:val="000000"/>
        </w:rPr>
        <w:t>Liderar, coordinar y planificar la Región mediante políticas, financiamiento y supervisión de la inversión, con el fin de contribuir al desarrollo del territorio y de sus habitantes, considerando la diversidad de éstos</w:t>
      </w:r>
      <w:r>
        <w:rPr>
          <w:rFonts w:ascii="Arial" w:hAnsi="Arial" w:cs="Arial"/>
          <w:color w:val="000000"/>
        </w:rPr>
        <w:t>”</w:t>
      </w:r>
      <w:r w:rsidRPr="00836AEF">
        <w:rPr>
          <w:rFonts w:ascii="Arial" w:hAnsi="Arial" w:cs="Arial"/>
          <w:color w:val="000000"/>
        </w:rPr>
        <w:t>.</w:t>
      </w:r>
    </w:p>
    <w:p w:rsidR="00AB2F8E" w:rsidRPr="00A648AE" w:rsidRDefault="00AB2F8E" w:rsidP="00AB2F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 visión es “</w:t>
      </w:r>
      <w:r w:rsidRPr="00A648AE">
        <w:rPr>
          <w:rFonts w:ascii="Arial" w:hAnsi="Arial" w:cs="Arial"/>
          <w:color w:val="000000"/>
        </w:rPr>
        <w:t>Seremos líderes en la gestión pública para el desarrollo de nuestra Región.  Construiremos una ciudad metrópolis más competitiva con mejores condiciones ambientales, mayores niveles de integración urbana, social y cultural, abasteciendo de servicios, infraestructura y equipamiento. Una capital sustentable, inclusiva, equitativa, moderna y segura</w:t>
      </w:r>
      <w:r>
        <w:rPr>
          <w:rFonts w:ascii="Arial" w:hAnsi="Arial" w:cs="Arial"/>
          <w:color w:val="000000"/>
        </w:rPr>
        <w:t>”</w:t>
      </w:r>
      <w:r w:rsidRPr="00A648AE">
        <w:rPr>
          <w:rFonts w:ascii="Arial" w:hAnsi="Arial" w:cs="Arial"/>
          <w:color w:val="000000"/>
        </w:rPr>
        <w:t>.</w:t>
      </w:r>
    </w:p>
    <w:p w:rsidR="00AB2F8E" w:rsidRDefault="00AB2F8E" w:rsidP="00AB2F8E">
      <w:pPr>
        <w:jc w:val="both"/>
        <w:rPr>
          <w:rFonts w:ascii="Arial" w:hAnsi="Arial" w:cs="Arial"/>
          <w:color w:val="000000"/>
        </w:rPr>
      </w:pPr>
      <w:r w:rsidRPr="001D7196">
        <w:rPr>
          <w:rFonts w:ascii="Arial" w:hAnsi="Arial" w:cs="Arial"/>
          <w:color w:val="000000"/>
        </w:rPr>
        <w:t>Sus objetivos estratégicos son:</w:t>
      </w:r>
    </w:p>
    <w:p w:rsidR="00AB2F8E" w:rsidRDefault="00AB2F8E" w:rsidP="00AB2F8E">
      <w:pPr>
        <w:pStyle w:val="Prrafodelista"/>
        <w:numPr>
          <w:ilvl w:val="0"/>
          <w:numId w:val="8"/>
        </w:numPr>
        <w:spacing w:after="0" w:line="240" w:lineRule="auto"/>
        <w:contextualSpacing/>
        <w:jc w:val="left"/>
        <w:rPr>
          <w:rFonts w:cs="Arial"/>
          <w:color w:val="000000"/>
          <w:sz w:val="22"/>
        </w:rPr>
      </w:pPr>
      <w:r w:rsidRPr="00836AEF">
        <w:rPr>
          <w:rFonts w:cs="Arial"/>
          <w:color w:val="000000"/>
          <w:sz w:val="22"/>
        </w:rPr>
        <w:t>Generar instrumentos de planificación regional que orienten el desarrollo del territorio y sus habitantes, articulando a actores claves y de acuerdo a las prioridades gubernamentales.</w:t>
      </w:r>
    </w:p>
    <w:p w:rsidR="00E16E55" w:rsidRPr="00836AEF" w:rsidRDefault="00E16E55" w:rsidP="00E16E55">
      <w:pPr>
        <w:pStyle w:val="Prrafodelista"/>
        <w:spacing w:after="0" w:line="240" w:lineRule="auto"/>
        <w:ind w:left="720"/>
        <w:contextualSpacing/>
        <w:jc w:val="left"/>
        <w:rPr>
          <w:rFonts w:cs="Arial"/>
          <w:color w:val="000000"/>
          <w:sz w:val="22"/>
        </w:rPr>
      </w:pPr>
    </w:p>
    <w:p w:rsidR="00AB2F8E" w:rsidRDefault="00AB2F8E" w:rsidP="00AB2F8E">
      <w:pPr>
        <w:pStyle w:val="Prrafodelista"/>
        <w:numPr>
          <w:ilvl w:val="0"/>
          <w:numId w:val="8"/>
        </w:numPr>
        <w:spacing w:after="0" w:line="240" w:lineRule="auto"/>
        <w:contextualSpacing/>
        <w:rPr>
          <w:rFonts w:cs="Arial"/>
          <w:color w:val="000000"/>
          <w:sz w:val="22"/>
        </w:rPr>
      </w:pPr>
      <w:r w:rsidRPr="00836AEF">
        <w:rPr>
          <w:rFonts w:cs="Arial"/>
          <w:color w:val="000000"/>
          <w:sz w:val="22"/>
        </w:rPr>
        <w:t xml:space="preserve">Priorizar, administrar, coordinar y supervisar eficientemente la inversión en la Región, a fin de contribuir al desarrollo del territorio y sus habitantes, con énfasis en la mejora </w:t>
      </w:r>
      <w:proofErr w:type="gramStart"/>
      <w:r w:rsidR="00706D83" w:rsidRPr="00836AEF">
        <w:rPr>
          <w:rFonts w:cs="Arial"/>
          <w:color w:val="000000"/>
          <w:sz w:val="22"/>
        </w:rPr>
        <w:t>continua</w:t>
      </w:r>
      <w:proofErr w:type="gramEnd"/>
      <w:r w:rsidRPr="00836AEF">
        <w:rPr>
          <w:rFonts w:cs="Arial"/>
          <w:color w:val="000000"/>
          <w:sz w:val="22"/>
        </w:rPr>
        <w:t xml:space="preserve"> de los procesos y transparencia en su gestión.</w:t>
      </w:r>
    </w:p>
    <w:p w:rsidR="00E16E55" w:rsidRPr="00E16E55" w:rsidRDefault="00E16E55" w:rsidP="00E16E55">
      <w:pPr>
        <w:pStyle w:val="Prrafodelista"/>
        <w:spacing w:after="0" w:line="240" w:lineRule="auto"/>
        <w:ind w:left="720"/>
        <w:contextualSpacing/>
        <w:rPr>
          <w:rFonts w:cs="Arial"/>
          <w:color w:val="000000"/>
          <w:sz w:val="22"/>
        </w:rPr>
      </w:pPr>
    </w:p>
    <w:p w:rsidR="00AB2F8E" w:rsidRDefault="00AB2F8E" w:rsidP="00AB2F8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cumplir estos objetivos </w:t>
      </w:r>
      <w:r w:rsidR="00E16E55"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</w:rPr>
        <w:t>debe garantizar la equidad, eficiencia y eficacia en la asignación y uso de los recursos públicos, los que se invierten en programas y proyectos que tienen como meta otorgar una mejor calidad de vida a los hombres y mujeres que viven en la Región.</w:t>
      </w:r>
    </w:p>
    <w:p w:rsidR="00581397" w:rsidRPr="00581397" w:rsidRDefault="00581397" w:rsidP="00581397">
      <w:pPr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</w:rPr>
        <w:t xml:space="preserve">Sus valores institucionales son: </w:t>
      </w:r>
      <w:r w:rsidRPr="00581397">
        <w:rPr>
          <w:rFonts w:ascii="Arial" w:hAnsi="Arial" w:cs="Arial"/>
          <w:color w:val="000000"/>
          <w:lang w:val="es-ES_tradnl"/>
        </w:rPr>
        <w:t>compromiso</w:t>
      </w:r>
      <w:r>
        <w:rPr>
          <w:rFonts w:ascii="Arial" w:hAnsi="Arial" w:cs="Arial"/>
          <w:color w:val="000000"/>
          <w:lang w:val="es-ES_tradnl"/>
        </w:rPr>
        <w:t xml:space="preserve">, </w:t>
      </w:r>
      <w:r w:rsidRPr="00581397">
        <w:rPr>
          <w:rFonts w:ascii="Arial" w:hAnsi="Arial" w:cs="Arial"/>
          <w:color w:val="000000"/>
          <w:lang w:val="es-ES_tradnl"/>
        </w:rPr>
        <w:t>e</w:t>
      </w:r>
      <w:r>
        <w:rPr>
          <w:rFonts w:ascii="Arial" w:hAnsi="Arial" w:cs="Arial"/>
          <w:color w:val="000000"/>
          <w:lang w:val="es-ES_tradnl"/>
        </w:rPr>
        <w:t xml:space="preserve">ficiencia, </w:t>
      </w:r>
      <w:r w:rsidRPr="00581397">
        <w:rPr>
          <w:rFonts w:ascii="Arial" w:hAnsi="Arial" w:cs="Arial"/>
          <w:color w:val="000000"/>
          <w:lang w:val="es-ES_tradnl"/>
        </w:rPr>
        <w:t>probidad</w:t>
      </w:r>
      <w:r>
        <w:rPr>
          <w:rFonts w:ascii="Arial" w:hAnsi="Arial" w:cs="Arial"/>
          <w:color w:val="000000"/>
          <w:lang w:val="es-ES_tradnl"/>
        </w:rPr>
        <w:t>, p</w:t>
      </w:r>
      <w:r w:rsidRPr="00581397">
        <w:rPr>
          <w:rFonts w:ascii="Arial" w:hAnsi="Arial" w:cs="Arial"/>
          <w:color w:val="000000"/>
          <w:lang w:val="es-ES_tradnl"/>
        </w:rPr>
        <w:t>rofesionalismo</w:t>
      </w:r>
      <w:r>
        <w:rPr>
          <w:rFonts w:ascii="Arial" w:hAnsi="Arial" w:cs="Arial"/>
          <w:color w:val="000000"/>
          <w:lang w:val="es-ES_tradnl"/>
        </w:rPr>
        <w:t xml:space="preserve"> y </w:t>
      </w:r>
      <w:r w:rsidRPr="00581397">
        <w:rPr>
          <w:rFonts w:ascii="Arial" w:hAnsi="Arial" w:cs="Arial"/>
          <w:color w:val="000000"/>
          <w:lang w:val="es-ES_tradnl"/>
        </w:rPr>
        <w:t>transparencia.</w:t>
      </w:r>
    </w:p>
    <w:p w:rsidR="00D10BFB" w:rsidRDefault="00E16E55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La información </w:t>
      </w:r>
      <w:r w:rsidR="00D10BFB">
        <w:rPr>
          <w:rFonts w:ascii="gobCL" w:hAnsi="gobCL" w:cs="Tahoma"/>
          <w:szCs w:val="20"/>
        </w:rPr>
        <w:t>que se obtiene</w:t>
      </w:r>
      <w:r w:rsidR="00C3670D">
        <w:rPr>
          <w:rFonts w:ascii="gobCL" w:hAnsi="gobCL" w:cs="Tahoma"/>
          <w:szCs w:val="20"/>
        </w:rPr>
        <w:t>n</w:t>
      </w:r>
      <w:r w:rsidR="00D10BFB">
        <w:rPr>
          <w:rFonts w:ascii="gobCL" w:hAnsi="gobCL" w:cs="Tahoma"/>
          <w:szCs w:val="20"/>
        </w:rPr>
        <w:t xml:space="preserve"> de esta fase </w:t>
      </w:r>
      <w:r>
        <w:rPr>
          <w:rFonts w:ascii="gobCL" w:hAnsi="gobCL" w:cs="Tahoma"/>
          <w:szCs w:val="20"/>
        </w:rPr>
        <w:t>es la siguiente</w:t>
      </w:r>
      <w:r w:rsidR="00D10BFB">
        <w:rPr>
          <w:rFonts w:ascii="gobCL" w:hAnsi="gobCL" w:cs="Tahoma"/>
          <w:szCs w:val="20"/>
        </w:rPr>
        <w:t>:</w:t>
      </w:r>
    </w:p>
    <w:p w:rsidR="00D10BFB" w:rsidRDefault="00D10BFB" w:rsidP="009E2CF8">
      <w:pPr>
        <w:pStyle w:val="Prrafodelista"/>
        <w:numPr>
          <w:ilvl w:val="0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 w:rsidRPr="00C3670D">
        <w:rPr>
          <w:rFonts w:ascii="gobCL" w:hAnsi="gobCL" w:cs="Tahoma"/>
          <w:i/>
          <w:sz w:val="22"/>
          <w:szCs w:val="20"/>
          <w:u w:val="single"/>
        </w:rPr>
        <w:t>Política de Gestión de Riesgos:</w:t>
      </w:r>
      <w:r>
        <w:rPr>
          <w:rFonts w:ascii="gobCL" w:hAnsi="gobCL" w:cs="Tahoma"/>
          <w:sz w:val="22"/>
          <w:szCs w:val="20"/>
        </w:rPr>
        <w:t xml:space="preserve"> Corresponde a la declaración de las intenciones y orientaciones globales de una organización, en relación con la gestión del riesgo.</w:t>
      </w:r>
    </w:p>
    <w:p w:rsidR="00D10BFB" w:rsidRDefault="00D10BFB" w:rsidP="009E2CF8">
      <w:pPr>
        <w:pStyle w:val="Prrafodelista"/>
        <w:numPr>
          <w:ilvl w:val="0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 w:rsidRPr="00C3670D">
        <w:rPr>
          <w:rFonts w:ascii="gobCL" w:hAnsi="gobCL" w:cs="Tahoma"/>
          <w:i/>
          <w:sz w:val="22"/>
          <w:szCs w:val="20"/>
          <w:u w:val="single"/>
        </w:rPr>
        <w:t>Responsables y sus Roles</w:t>
      </w:r>
      <w:r>
        <w:rPr>
          <w:rFonts w:ascii="gobCL" w:hAnsi="gobCL" w:cs="Tahoma"/>
          <w:sz w:val="22"/>
          <w:szCs w:val="20"/>
        </w:rPr>
        <w:t>: Se deben definir, documentar y aprobar los roles de las personas relacionadas con las siguientes materias:</w:t>
      </w:r>
    </w:p>
    <w:p w:rsidR="00D10BFB" w:rsidRDefault="00D10BFB" w:rsidP="009E2CF8">
      <w:pPr>
        <w:pStyle w:val="Prrafodelista"/>
        <w:numPr>
          <w:ilvl w:val="1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>
        <w:rPr>
          <w:rFonts w:ascii="gobCL" w:hAnsi="gobCL" w:cs="Tahoma"/>
          <w:sz w:val="22"/>
          <w:szCs w:val="20"/>
        </w:rPr>
        <w:t>Iniciar acciones para prevenir o reducir los efectos de los riesgos.</w:t>
      </w:r>
    </w:p>
    <w:p w:rsidR="00D10BFB" w:rsidRDefault="00D10BFB" w:rsidP="009E2CF8">
      <w:pPr>
        <w:pStyle w:val="Prrafodelista"/>
        <w:numPr>
          <w:ilvl w:val="1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>
        <w:rPr>
          <w:rFonts w:ascii="gobCL" w:hAnsi="gobCL" w:cs="Tahoma"/>
          <w:sz w:val="22"/>
          <w:szCs w:val="20"/>
        </w:rPr>
        <w:t>Controlar el tratamiento de los riesgos.</w:t>
      </w:r>
    </w:p>
    <w:p w:rsidR="00D10BFB" w:rsidRDefault="00D10BFB" w:rsidP="009E2CF8">
      <w:pPr>
        <w:pStyle w:val="Prrafodelista"/>
        <w:numPr>
          <w:ilvl w:val="1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>
        <w:rPr>
          <w:rFonts w:ascii="gobCL" w:hAnsi="gobCL" w:cs="Tahoma"/>
          <w:sz w:val="22"/>
          <w:szCs w:val="20"/>
        </w:rPr>
        <w:t>Identificar y registrar cualquier problema relacionado con la gestión de los riesgos.</w:t>
      </w:r>
    </w:p>
    <w:p w:rsidR="00D10BFB" w:rsidRDefault="00D10BFB" w:rsidP="009E2CF8">
      <w:pPr>
        <w:pStyle w:val="Prrafodelista"/>
        <w:numPr>
          <w:ilvl w:val="1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>
        <w:rPr>
          <w:rFonts w:ascii="gobCL" w:hAnsi="gobCL" w:cs="Tahoma"/>
          <w:sz w:val="22"/>
          <w:szCs w:val="20"/>
        </w:rPr>
        <w:t>Iniciar, recomendar o proveer soluciones a través de estrategias.</w:t>
      </w:r>
    </w:p>
    <w:p w:rsidR="00D10BFB" w:rsidRDefault="00D10BFB" w:rsidP="009E2CF8">
      <w:pPr>
        <w:pStyle w:val="Prrafodelista"/>
        <w:numPr>
          <w:ilvl w:val="1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>
        <w:rPr>
          <w:rFonts w:ascii="gobCL" w:hAnsi="gobCL" w:cs="Tahoma"/>
          <w:sz w:val="22"/>
          <w:szCs w:val="20"/>
        </w:rPr>
        <w:t xml:space="preserve">Verificar a través del monitoreo la implementación de las soluciones contenidas en las </w:t>
      </w:r>
      <w:r w:rsidR="00460329">
        <w:rPr>
          <w:rFonts w:ascii="gobCL" w:hAnsi="gobCL" w:cs="Tahoma"/>
          <w:sz w:val="22"/>
          <w:szCs w:val="20"/>
        </w:rPr>
        <w:t>estrategias</w:t>
      </w:r>
      <w:r>
        <w:rPr>
          <w:rFonts w:ascii="gobCL" w:hAnsi="gobCL" w:cs="Tahoma"/>
          <w:sz w:val="22"/>
          <w:szCs w:val="20"/>
        </w:rPr>
        <w:t>.</w:t>
      </w:r>
    </w:p>
    <w:p w:rsidR="00D10BFB" w:rsidRDefault="00D10BFB" w:rsidP="009E2CF8">
      <w:pPr>
        <w:pStyle w:val="Prrafodelista"/>
        <w:numPr>
          <w:ilvl w:val="0"/>
          <w:numId w:val="1"/>
        </w:numPr>
        <w:spacing w:line="240" w:lineRule="auto"/>
        <w:rPr>
          <w:rFonts w:ascii="gobCL" w:hAnsi="gobCL" w:cs="Tahoma"/>
          <w:sz w:val="22"/>
          <w:szCs w:val="20"/>
        </w:rPr>
      </w:pPr>
      <w:r w:rsidRPr="00C3670D">
        <w:rPr>
          <w:rFonts w:ascii="gobCL" w:hAnsi="gobCL" w:cs="Tahoma"/>
          <w:i/>
          <w:sz w:val="22"/>
          <w:szCs w:val="20"/>
          <w:u w:val="single"/>
        </w:rPr>
        <w:t>Diccionario de Riesgos:</w:t>
      </w:r>
      <w:r>
        <w:rPr>
          <w:rFonts w:ascii="gobCL" w:hAnsi="gobCL" w:cs="Tahoma"/>
          <w:sz w:val="22"/>
          <w:szCs w:val="20"/>
        </w:rPr>
        <w:t xml:space="preserve"> En el caso de las organizaciones gubernamentales, el diccionario ha sido confeccionado y remitido a los servicios públicos por el Consejo de Auditoría Interna General de Gobierno (CAIGG).</w:t>
      </w:r>
    </w:p>
    <w:p w:rsidR="00E16E55" w:rsidRPr="00E16E55" w:rsidRDefault="00E16E55" w:rsidP="00E16E5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le </w:t>
      </w:r>
      <w:r w:rsidRPr="00E16E55">
        <w:rPr>
          <w:rFonts w:ascii="Arial" w:hAnsi="Arial" w:cs="Arial"/>
          <w:color w:val="000000"/>
        </w:rPr>
        <w:t xml:space="preserve">asigna especial importancia a la reducción de los riesgos, </w:t>
      </w:r>
      <w:r>
        <w:rPr>
          <w:rFonts w:ascii="Arial" w:hAnsi="Arial" w:cs="Arial"/>
          <w:color w:val="000000"/>
        </w:rPr>
        <w:t xml:space="preserve">que </w:t>
      </w:r>
      <w:r w:rsidRPr="00E16E55">
        <w:rPr>
          <w:rFonts w:ascii="Arial" w:hAnsi="Arial" w:cs="Arial"/>
          <w:color w:val="000000"/>
        </w:rPr>
        <w:t>obedece al propósito de mejorar la gestión institucional, a fin de contribuir al cumplimiento de los objetivos estratégicos y con ello al logro de la misión</w:t>
      </w:r>
      <w:r>
        <w:rPr>
          <w:rFonts w:ascii="Arial" w:hAnsi="Arial" w:cs="Arial"/>
          <w:color w:val="000000"/>
        </w:rPr>
        <w:t xml:space="preserve"> institucional</w:t>
      </w:r>
      <w:r w:rsidRPr="00E16E55">
        <w:rPr>
          <w:rFonts w:ascii="Arial" w:hAnsi="Arial" w:cs="Arial"/>
          <w:color w:val="000000"/>
        </w:rPr>
        <w:t>.</w:t>
      </w:r>
    </w:p>
    <w:p w:rsidR="00E16E55" w:rsidRPr="00E16E55" w:rsidRDefault="00E16E55" w:rsidP="00E16E55">
      <w:pPr>
        <w:jc w:val="both"/>
        <w:rPr>
          <w:rFonts w:ascii="Arial" w:hAnsi="Arial" w:cs="Arial"/>
          <w:color w:val="000000"/>
        </w:rPr>
      </w:pPr>
      <w:r w:rsidRPr="00E16E55">
        <w:rPr>
          <w:rFonts w:ascii="Arial" w:hAnsi="Arial" w:cs="Arial"/>
          <w:color w:val="000000"/>
        </w:rPr>
        <w:t>El mejoramiento de la gestión del Gobierno Regional está estrechamente relacionado con instalar un enfoque de gestión que apunte a maximizar sus resultados y la satisfacción de sus destinatarios, sobre la base de la optimización de todos sus procesos de una manera integrada.</w:t>
      </w:r>
      <w:r>
        <w:rPr>
          <w:rFonts w:ascii="Arial" w:hAnsi="Arial" w:cs="Arial"/>
          <w:color w:val="000000"/>
        </w:rPr>
        <w:t xml:space="preserve"> </w:t>
      </w:r>
      <w:r w:rsidRPr="00E16E55">
        <w:rPr>
          <w:rFonts w:ascii="Arial" w:hAnsi="Arial" w:cs="Arial"/>
          <w:color w:val="000000"/>
        </w:rPr>
        <w:t>En otras palabras, con concebir la organización como un sistema que está en permanente adaptación a los desafíos del entorno</w:t>
      </w:r>
      <w:r>
        <w:rPr>
          <w:rFonts w:ascii="Arial" w:hAnsi="Arial" w:cs="Arial"/>
          <w:color w:val="000000"/>
        </w:rPr>
        <w:t xml:space="preserve"> y a los riesgos</w:t>
      </w:r>
      <w:r w:rsidRPr="00E16E55">
        <w:rPr>
          <w:rFonts w:ascii="Arial" w:hAnsi="Arial" w:cs="Arial"/>
          <w:color w:val="000000"/>
        </w:rPr>
        <w:t>.</w:t>
      </w:r>
    </w:p>
    <w:p w:rsidR="006C576A" w:rsidRDefault="006C576A" w:rsidP="006C576A">
      <w:pP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R</w:t>
      </w:r>
      <w:r w:rsidRPr="006C576A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esponsabilidad</w:t>
      </w:r>
      <w:r w:rsidR="00325A22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es</w:t>
      </w:r>
      <w:r w:rsidRPr="006C576A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 xml:space="preserve"> </w:t>
      </w:r>
      <w:r w:rsidR="00325A22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en el proceso</w:t>
      </w:r>
      <w:r w:rsidRPr="006C576A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 xml:space="preserve"> de </w:t>
      </w:r>
      <w:r w:rsidR="00325A22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gestión de r</w:t>
      </w:r>
      <w:r w:rsidRPr="006C576A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iesgos</w:t>
      </w:r>
      <w:r w:rsidR="00C3670D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:</w:t>
      </w:r>
    </w:p>
    <w:p w:rsidR="00C3670D" w:rsidRDefault="00C3670D" w:rsidP="006C576A">
      <w:pP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>
        <w:rPr>
          <w:rFonts w:ascii="Arial" w:hAnsi="Arial" w:cs="Arial"/>
          <w:noProof/>
          <w:sz w:val="18"/>
          <w:szCs w:val="18"/>
          <w:lang w:eastAsia="es-CL"/>
        </w:rPr>
        <w:drawing>
          <wp:inline distT="0" distB="0" distL="0" distR="0" wp14:anchorId="53398FFF" wp14:editId="6256025A">
            <wp:extent cx="2054951" cy="3466465"/>
            <wp:effectExtent l="76200" t="0" r="97790" b="635"/>
            <wp:docPr id="8" name="Organi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3670D" w:rsidRDefault="00C3670D" w:rsidP="009E2CF8">
      <w:pPr>
        <w:spacing w:line="240" w:lineRule="auto"/>
        <w:jc w:val="both"/>
        <w:rPr>
          <w:rFonts w:ascii="gobCL" w:hAnsi="gobCL" w:cs="Tahoma"/>
          <w:szCs w:val="20"/>
        </w:rPr>
      </w:pPr>
    </w:p>
    <w:p w:rsidR="00C3670D" w:rsidRDefault="006C576A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La/E</w:t>
      </w:r>
      <w:r w:rsidRPr="006C576A">
        <w:rPr>
          <w:rFonts w:ascii="gobCL" w:hAnsi="gobCL" w:cs="Tahoma"/>
          <w:szCs w:val="20"/>
        </w:rPr>
        <w:t xml:space="preserve">l </w:t>
      </w:r>
      <w:proofErr w:type="spellStart"/>
      <w:r w:rsidRPr="006C576A">
        <w:rPr>
          <w:rFonts w:ascii="gobCL" w:hAnsi="gobCL" w:cs="Tahoma"/>
          <w:szCs w:val="20"/>
        </w:rPr>
        <w:t>lntendent</w:t>
      </w:r>
      <w:r>
        <w:rPr>
          <w:rFonts w:ascii="gobCL" w:hAnsi="gobCL" w:cs="Tahoma"/>
          <w:szCs w:val="20"/>
        </w:rPr>
        <w:t>a</w:t>
      </w:r>
      <w:proofErr w:type="spellEnd"/>
      <w:r>
        <w:rPr>
          <w:rFonts w:ascii="gobCL" w:hAnsi="gobCL" w:cs="Tahoma"/>
          <w:szCs w:val="20"/>
        </w:rPr>
        <w:t>/</w:t>
      </w:r>
      <w:r w:rsidRPr="006C576A">
        <w:rPr>
          <w:rFonts w:ascii="gobCL" w:hAnsi="gobCL" w:cs="Tahoma"/>
          <w:szCs w:val="20"/>
        </w:rPr>
        <w:t>e Regional coordinará la gestión de riesgos a través del Comité de Riesgos y dispondrá la revisión periódica del proceso en el Servicio.</w:t>
      </w:r>
    </w:p>
    <w:p w:rsidR="00080B3F" w:rsidRPr="00080B3F" w:rsidRDefault="00080B3F" w:rsidP="00080B3F">
      <w:pPr>
        <w:tabs>
          <w:tab w:val="num" w:pos="745"/>
        </w:tabs>
        <w:spacing w:line="240" w:lineRule="auto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i/>
          <w:szCs w:val="20"/>
          <w:u w:val="single"/>
        </w:rPr>
        <w:t>Encargado/a de Riesgos:</w:t>
      </w:r>
      <w:r w:rsidRPr="00080B3F">
        <w:rPr>
          <w:rFonts w:ascii="gobCL" w:hAnsi="gobCL" w:cs="Tahoma"/>
          <w:i/>
          <w:szCs w:val="20"/>
        </w:rPr>
        <w:t xml:space="preserve"> </w:t>
      </w:r>
      <w:r w:rsidR="00914727"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División Administración y Finanzas</w:t>
      </w:r>
    </w:p>
    <w:p w:rsidR="00080B3F" w:rsidRPr="00080B3F" w:rsidRDefault="00080B3F" w:rsidP="00080B3F">
      <w:pPr>
        <w:tabs>
          <w:tab w:val="num" w:pos="745"/>
        </w:tabs>
        <w:spacing w:line="240" w:lineRule="auto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i/>
          <w:szCs w:val="20"/>
          <w:u w:val="single"/>
        </w:rPr>
        <w:t>Secretaría Ejecutiva del Comité de Riesgos:</w:t>
      </w:r>
      <w:r w:rsidRPr="00080B3F">
        <w:rPr>
          <w:rFonts w:ascii="gobCL" w:hAnsi="gobCL" w:cs="Tahoma"/>
          <w:i/>
          <w:szCs w:val="20"/>
        </w:rPr>
        <w:t xml:space="preserve"> </w:t>
      </w:r>
      <w:r w:rsidR="00914727">
        <w:rPr>
          <w:rFonts w:ascii="gobCL" w:hAnsi="gobCL" w:cs="Tahoma"/>
          <w:szCs w:val="20"/>
        </w:rPr>
        <w:t xml:space="preserve">Jefatura </w:t>
      </w:r>
      <w:r w:rsidRPr="00080B3F">
        <w:rPr>
          <w:rFonts w:ascii="gobCL" w:hAnsi="gobCL" w:cs="Tahoma"/>
          <w:szCs w:val="20"/>
        </w:rPr>
        <w:t xml:space="preserve">Departamento de </w:t>
      </w:r>
      <w:r>
        <w:rPr>
          <w:rFonts w:ascii="gobCL" w:hAnsi="gobCL" w:cs="Tahoma"/>
          <w:szCs w:val="20"/>
        </w:rPr>
        <w:t>Planificación y Control Institucional</w:t>
      </w:r>
    </w:p>
    <w:p w:rsidR="00080B3F" w:rsidRPr="00080B3F" w:rsidRDefault="00080B3F" w:rsidP="00080B3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u w:val="single"/>
          <w:lang w:eastAsia="es-ES"/>
        </w:rPr>
      </w:pPr>
      <w:r w:rsidRPr="00080B3F">
        <w:rPr>
          <w:rFonts w:ascii="gobCL" w:hAnsi="gobCL" w:cs="Tahoma"/>
          <w:i/>
          <w:szCs w:val="20"/>
          <w:u w:val="single"/>
        </w:rPr>
        <w:t>Comité de Riesgos</w:t>
      </w:r>
      <w:r w:rsidRPr="00325A22">
        <w:rPr>
          <w:rFonts w:ascii="gobCL" w:hAnsi="gobCL" w:cs="Tahoma"/>
          <w:i/>
          <w:szCs w:val="20"/>
          <w:u w:val="single"/>
        </w:rPr>
        <w:t>:</w:t>
      </w:r>
    </w:p>
    <w:p w:rsidR="00080B3F" w:rsidRPr="00080B3F" w:rsidRDefault="00080B3F" w:rsidP="00080B3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6"/>
          <w:szCs w:val="16"/>
          <w:u w:val="single"/>
          <w:lang w:eastAsia="es-ES"/>
        </w:rPr>
      </w:pPr>
    </w:p>
    <w:p w:rsidR="00080B3F" w:rsidRPr="00080B3F" w:rsidRDefault="00080B3F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 w:rsidRPr="00080B3F">
        <w:rPr>
          <w:rFonts w:ascii="gobCL" w:hAnsi="gobCL" w:cs="Tahoma"/>
          <w:szCs w:val="20"/>
        </w:rPr>
        <w:t>Intendenta/e</w:t>
      </w:r>
    </w:p>
    <w:p w:rsidR="00080B3F" w:rsidRPr="00080B3F" w:rsidRDefault="00914727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Administra</w:t>
      </w:r>
      <w:r w:rsidR="00080B3F" w:rsidRPr="00080B3F">
        <w:rPr>
          <w:rFonts w:ascii="gobCL" w:hAnsi="gobCL" w:cs="Tahoma"/>
          <w:szCs w:val="20"/>
        </w:rPr>
        <w:t>dor/a Regional</w:t>
      </w:r>
    </w:p>
    <w:p w:rsidR="00080B3F" w:rsidRPr="00080B3F" w:rsidRDefault="00914727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 xml:space="preserve">División Administración y Finanzas </w:t>
      </w:r>
      <w:r>
        <w:rPr>
          <w:rFonts w:ascii="gobCL" w:hAnsi="gobCL" w:cs="Tahoma"/>
          <w:szCs w:val="20"/>
        </w:rPr>
        <w:t>(en calidad también de Encargada</w:t>
      </w:r>
      <w:r w:rsidR="00080B3F" w:rsidRPr="00080B3F">
        <w:rPr>
          <w:rFonts w:ascii="gobCL" w:hAnsi="gobCL" w:cs="Tahoma"/>
          <w:szCs w:val="20"/>
        </w:rPr>
        <w:t xml:space="preserve"> de Riesgos Institucional)</w:t>
      </w:r>
    </w:p>
    <w:p w:rsidR="00080B3F" w:rsidRPr="00080B3F" w:rsidRDefault="00914727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="00080B3F" w:rsidRPr="00080B3F">
        <w:rPr>
          <w:rFonts w:ascii="gobCL" w:hAnsi="gobCL" w:cs="Tahoma"/>
          <w:szCs w:val="20"/>
        </w:rPr>
        <w:t xml:space="preserve"> División Análisis y Control de la Gestión</w:t>
      </w:r>
    </w:p>
    <w:p w:rsidR="00080B3F" w:rsidRPr="00080B3F" w:rsidRDefault="00914727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 xml:space="preserve">División Planificación y Desarrollo </w:t>
      </w:r>
    </w:p>
    <w:p w:rsidR="00080B3F" w:rsidRPr="00080B3F" w:rsidRDefault="0025213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Jurídico</w:t>
      </w:r>
    </w:p>
    <w:p w:rsidR="00080B3F" w:rsidRPr="00080B3F" w:rsidRDefault="0025213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914727">
        <w:rPr>
          <w:rFonts w:ascii="gobCL" w:hAnsi="gobCL" w:cs="Tahoma"/>
          <w:szCs w:val="20"/>
        </w:rPr>
        <w:t>Departamento</w:t>
      </w:r>
      <w:r w:rsidR="00080B3F" w:rsidRPr="00080B3F">
        <w:rPr>
          <w:rFonts w:ascii="gobCL" w:hAnsi="gobCL" w:cs="Tahoma"/>
          <w:szCs w:val="20"/>
        </w:rPr>
        <w:t xml:space="preserve"> de Auditoría Interna</w:t>
      </w:r>
    </w:p>
    <w:p w:rsidR="00080B3F" w:rsidRPr="00080B3F" w:rsidRDefault="0025213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 xml:space="preserve">Departamento de </w:t>
      </w:r>
      <w:r w:rsidR="00BB2FF2">
        <w:rPr>
          <w:rFonts w:ascii="gobCL" w:hAnsi="gobCL" w:cs="Tahoma"/>
          <w:szCs w:val="20"/>
        </w:rPr>
        <w:t>Planificación y Control</w:t>
      </w:r>
      <w:r w:rsidR="00080B3F" w:rsidRPr="00080B3F">
        <w:rPr>
          <w:rFonts w:ascii="gobCL" w:hAnsi="gobCL" w:cs="Tahoma"/>
          <w:szCs w:val="20"/>
        </w:rPr>
        <w:t xml:space="preserve"> Institucional (en calidad también de Secretaria Ejecutiva del Comité de Riesgos)</w:t>
      </w:r>
    </w:p>
    <w:p w:rsid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Finanzas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Actividades de Cultura, Deporte y Seguridad Ciudadana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Iniciativas de Inversión y Activos no Financieros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Transferencia</w:t>
      </w:r>
      <w:r>
        <w:rPr>
          <w:rFonts w:ascii="gobCL" w:hAnsi="gobCL" w:cs="Tahoma"/>
          <w:szCs w:val="20"/>
        </w:rPr>
        <w:t>s</w:t>
      </w:r>
      <w:r w:rsidR="00080B3F" w:rsidRPr="00080B3F">
        <w:rPr>
          <w:rFonts w:ascii="gobCL" w:hAnsi="gobCL" w:cs="Tahoma"/>
          <w:szCs w:val="20"/>
        </w:rPr>
        <w:t xml:space="preserve"> de capital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Gestión de Abastecimiento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Planificación Regional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Pr="00080B3F">
        <w:rPr>
          <w:rFonts w:ascii="gobCL" w:hAnsi="gobCL" w:cs="Tahoma"/>
          <w:szCs w:val="20"/>
        </w:rPr>
        <w:t xml:space="preserve"> </w:t>
      </w:r>
      <w:r w:rsidR="00080B3F" w:rsidRPr="00080B3F">
        <w:rPr>
          <w:rFonts w:ascii="gobCL" w:hAnsi="gobCL" w:cs="Tahoma"/>
          <w:szCs w:val="20"/>
        </w:rPr>
        <w:t>Departamento de Pre inversión y Proyectos</w:t>
      </w:r>
    </w:p>
    <w:p w:rsidR="00080B3F" w:rsidRPr="00080B3F" w:rsidRDefault="00BB2FF2" w:rsidP="00080B3F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Jefatura</w:t>
      </w:r>
      <w:r w:rsidR="00080B3F" w:rsidRPr="00080B3F">
        <w:rPr>
          <w:rFonts w:ascii="gobCL" w:hAnsi="gobCL" w:cs="Tahoma"/>
          <w:szCs w:val="20"/>
        </w:rPr>
        <w:t xml:space="preserve"> Departamento de Informática (en calidad también de Encargado de Seguridad de la Información)</w:t>
      </w:r>
    </w:p>
    <w:p w:rsidR="00080B3F" w:rsidRPr="00080B3F" w:rsidRDefault="00080B3F" w:rsidP="00080B3F">
      <w:pPr>
        <w:spacing w:after="0" w:line="240" w:lineRule="auto"/>
        <w:jc w:val="both"/>
        <w:rPr>
          <w:rFonts w:ascii="gobCL" w:hAnsi="gobCL" w:cs="Tahoma"/>
          <w:szCs w:val="20"/>
        </w:rPr>
      </w:pPr>
    </w:p>
    <w:p w:rsidR="00F966E4" w:rsidRPr="00F966E4" w:rsidRDefault="00F966E4" w:rsidP="00F966E4">
      <w:pPr>
        <w:spacing w:after="0" w:line="240" w:lineRule="auto"/>
        <w:jc w:val="both"/>
        <w:rPr>
          <w:rFonts w:ascii="gobCL" w:hAnsi="gobCL" w:cs="Tahoma"/>
          <w:i/>
          <w:szCs w:val="20"/>
          <w:u w:val="single"/>
        </w:rPr>
      </w:pPr>
      <w:r w:rsidRPr="00F966E4">
        <w:rPr>
          <w:rFonts w:ascii="gobCL" w:hAnsi="gobCL" w:cs="Tahoma"/>
          <w:i/>
          <w:szCs w:val="20"/>
          <w:u w:val="single"/>
        </w:rPr>
        <w:t>Coordinadores de Riesgos</w:t>
      </w:r>
      <w:r w:rsidRPr="00325A22">
        <w:rPr>
          <w:rFonts w:ascii="gobCL" w:hAnsi="gobCL" w:cs="Tahoma"/>
          <w:i/>
          <w:szCs w:val="20"/>
          <w:u w:val="single"/>
        </w:rPr>
        <w:t>:</w:t>
      </w:r>
    </w:p>
    <w:p w:rsidR="00F966E4" w:rsidRPr="00F966E4" w:rsidRDefault="00F966E4" w:rsidP="00F966E4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 xml:space="preserve">Jefatura </w:t>
      </w:r>
      <w:r w:rsidR="003C392F">
        <w:rPr>
          <w:rFonts w:ascii="gobCL" w:hAnsi="gobCL" w:cs="Tahoma"/>
          <w:szCs w:val="20"/>
        </w:rPr>
        <w:t>Departamento</w:t>
      </w:r>
      <w:r w:rsidRPr="00325A22">
        <w:rPr>
          <w:rFonts w:ascii="gobCL" w:hAnsi="gobCL" w:cs="Tahoma"/>
          <w:szCs w:val="20"/>
        </w:rPr>
        <w:t xml:space="preserve"> de Auditoría Interna</w:t>
      </w:r>
    </w:p>
    <w:p w:rsidR="00F966E4" w:rsidRPr="003C392F" w:rsidRDefault="00F966E4" w:rsidP="003C392F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 xml:space="preserve">Jefatura Departamento de </w:t>
      </w:r>
      <w:r w:rsidR="003C392F">
        <w:rPr>
          <w:rFonts w:ascii="gobCL" w:hAnsi="gobCL" w:cs="Tahoma"/>
          <w:szCs w:val="20"/>
        </w:rPr>
        <w:t xml:space="preserve">Planificación y Control </w:t>
      </w:r>
      <w:r w:rsidRPr="00325A22">
        <w:rPr>
          <w:rFonts w:ascii="gobCL" w:hAnsi="gobCL" w:cs="Tahoma"/>
          <w:szCs w:val="20"/>
        </w:rPr>
        <w:t>Institucional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Jurídico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Gestión Documental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Finanzas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Encargado/a Unidad de Presupuesto de Funcionamiento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Encargado/a Unidad de Presupuesto de Inversión Regional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Encargado/a Unidad de Contabilidad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Encargado/a Unidad de Tesorería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Servicios Generales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Gestión de Personas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Informática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Gestión de Abastecimiento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Actividades de Cultura, Deporte y Seguridad Ciudadana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Transferencias de Capital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Gestión de Iniciativas de Inversión y Activos no Financieros</w:t>
      </w:r>
    </w:p>
    <w:p w:rsidR="00F966E4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Planificación Regional</w:t>
      </w:r>
    </w:p>
    <w:p w:rsidR="006C576A" w:rsidRPr="00325A22" w:rsidRDefault="00F966E4" w:rsidP="00325A22">
      <w:pPr>
        <w:numPr>
          <w:ilvl w:val="0"/>
          <w:numId w:val="7"/>
        </w:numPr>
        <w:tabs>
          <w:tab w:val="clear" w:pos="720"/>
        </w:tabs>
        <w:spacing w:after="0" w:line="240" w:lineRule="auto"/>
        <w:ind w:hanging="436"/>
        <w:jc w:val="both"/>
        <w:rPr>
          <w:rFonts w:ascii="gobCL" w:hAnsi="gobCL" w:cs="Tahoma"/>
          <w:szCs w:val="20"/>
        </w:rPr>
      </w:pPr>
      <w:r w:rsidRPr="00325A22">
        <w:rPr>
          <w:rFonts w:ascii="gobCL" w:hAnsi="gobCL" w:cs="Tahoma"/>
          <w:szCs w:val="20"/>
        </w:rPr>
        <w:t>Jefatura Departamento de Preinversión y Proyectos</w:t>
      </w:r>
    </w:p>
    <w:p w:rsidR="00325A22" w:rsidRPr="006C576A" w:rsidRDefault="00325A22" w:rsidP="00325A22">
      <w:pPr>
        <w:spacing w:after="0" w:line="240" w:lineRule="auto"/>
        <w:ind w:left="720"/>
        <w:jc w:val="both"/>
        <w:rPr>
          <w:rFonts w:ascii="gobCL" w:hAnsi="gobCL" w:cs="Tahoma"/>
          <w:szCs w:val="20"/>
        </w:rPr>
      </w:pPr>
    </w:p>
    <w:p w:rsidR="00D10BFB" w:rsidRPr="00132307" w:rsidRDefault="00D10BFB" w:rsidP="009E2CF8">
      <w:pPr>
        <w:spacing w:line="240" w:lineRule="auto"/>
        <w:jc w:val="both"/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 w:rsidRPr="00132307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 xml:space="preserve">Fase </w:t>
      </w:r>
      <w: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2: Evaluación del Riesgo y Tratamiento del Riesgo</w:t>
      </w:r>
    </w:p>
    <w:p w:rsidR="00D10BFB" w:rsidRPr="001A7DA6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 w:rsidRPr="001A7DA6">
        <w:rPr>
          <w:rFonts w:ascii="gobCL" w:hAnsi="gobCL" w:cs="Tahoma"/>
          <w:szCs w:val="20"/>
        </w:rPr>
        <w:t>Su ejecución consiste en un levantamiento de los procesos</w:t>
      </w:r>
      <w:r>
        <w:rPr>
          <w:rFonts w:ascii="gobCL" w:hAnsi="gobCL" w:cs="Tahoma"/>
          <w:szCs w:val="20"/>
        </w:rPr>
        <w:t xml:space="preserve"> transversales, procesos críticos</w:t>
      </w:r>
      <w:r w:rsidRPr="001A7DA6">
        <w:rPr>
          <w:rFonts w:ascii="gobCL" w:hAnsi="gobCL" w:cs="Tahoma"/>
          <w:szCs w:val="20"/>
        </w:rPr>
        <w:t>, subprocesos y etapas, identificando y describiendo sus riesgos y controles, tomando</w:t>
      </w:r>
      <w:r w:rsidR="00F31DE2">
        <w:rPr>
          <w:rFonts w:ascii="gobCL" w:hAnsi="gobCL" w:cs="Tahoma"/>
          <w:szCs w:val="20"/>
        </w:rPr>
        <w:t xml:space="preserve"> en consideración todos los </w:t>
      </w:r>
      <w:proofErr w:type="spellStart"/>
      <w:r w:rsidR="00F31DE2">
        <w:rPr>
          <w:rFonts w:ascii="gobCL" w:hAnsi="gobCL" w:cs="Tahoma"/>
          <w:szCs w:val="20"/>
        </w:rPr>
        <w:t>pre</w:t>
      </w:r>
      <w:r w:rsidRPr="001A7DA6">
        <w:rPr>
          <w:rFonts w:ascii="gobCL" w:hAnsi="gobCL" w:cs="Tahoma"/>
          <w:szCs w:val="20"/>
        </w:rPr>
        <w:t>informes</w:t>
      </w:r>
      <w:proofErr w:type="spellEnd"/>
      <w:r w:rsidRPr="001A7DA6">
        <w:rPr>
          <w:rFonts w:ascii="gobCL" w:hAnsi="gobCL" w:cs="Tahoma"/>
          <w:szCs w:val="20"/>
        </w:rPr>
        <w:t xml:space="preserve">/informes de la Contraloría General de la República y las auditorías realizadas por la Unidad de Auditoría Interna del Servicio. 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 w:rsidRPr="001A7DA6">
        <w:rPr>
          <w:rFonts w:ascii="gobCL" w:hAnsi="gobCL" w:cs="Tahoma"/>
          <w:szCs w:val="20"/>
        </w:rPr>
        <w:t xml:space="preserve">Esta implementación es realizada por los encargados de cada proceso (jefaturas de división, departamento y/o unidad) y coordinada metodológicamente, analizada, consolidada y gestionada por el Departamento de </w:t>
      </w:r>
      <w:r w:rsidR="00E16E55">
        <w:rPr>
          <w:rFonts w:ascii="gobCL" w:hAnsi="gobCL" w:cs="Tahoma"/>
          <w:szCs w:val="20"/>
        </w:rPr>
        <w:t>Planificación y Control I</w:t>
      </w:r>
      <w:r w:rsidRPr="001A7DA6">
        <w:rPr>
          <w:rFonts w:ascii="gobCL" w:hAnsi="gobCL" w:cs="Tahoma"/>
          <w:szCs w:val="20"/>
        </w:rPr>
        <w:t>nstitucional, en su rol de Secretaría Ejecutiva del Comité de Riesgos, dando paso a la actualización de la</w:t>
      </w:r>
      <w:r>
        <w:rPr>
          <w:rFonts w:ascii="gobCL" w:hAnsi="gobCL" w:cs="Tahoma"/>
          <w:szCs w:val="20"/>
        </w:rPr>
        <w:t xml:space="preserve"> Matriz de Riesgos.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Finalmente una vez evaluados y priorizados los riesgos en las fases respectivas, </w:t>
      </w:r>
      <w:r w:rsidR="00E16E55">
        <w:rPr>
          <w:rFonts w:ascii="gobCL" w:hAnsi="gobCL" w:cs="Tahoma"/>
          <w:szCs w:val="20"/>
        </w:rPr>
        <w:t>se elaboran</w:t>
      </w:r>
      <w:r>
        <w:rPr>
          <w:rFonts w:ascii="gobCL" w:hAnsi="gobCL" w:cs="Tahoma"/>
          <w:szCs w:val="20"/>
        </w:rPr>
        <w:t xml:space="preserve"> las acciones concretas necesarias para tratarlos y monitorearlos, generando una respuesta lo suficientemente adecuada para mantener la exposición del riesg</w:t>
      </w:r>
      <w:r w:rsidR="00E16E55">
        <w:rPr>
          <w:rFonts w:ascii="gobCL" w:hAnsi="gobCL" w:cs="Tahoma"/>
          <w:szCs w:val="20"/>
        </w:rPr>
        <w:t>o en un nivel aceptable</w:t>
      </w:r>
      <w:r>
        <w:rPr>
          <w:rFonts w:ascii="gobCL" w:hAnsi="gobCL" w:cs="Tahoma"/>
          <w:szCs w:val="20"/>
        </w:rPr>
        <w:t>. Lo anterior a través del Plan de Tratamiento.</w:t>
      </w:r>
    </w:p>
    <w:p w:rsidR="00E16E55" w:rsidRDefault="00E16E55" w:rsidP="00E16E55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La información que se obtienen de esta fase es la siguiente:</w:t>
      </w:r>
    </w:p>
    <w:p w:rsidR="009977DA" w:rsidRDefault="00E16E55" w:rsidP="009977DA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 w:rsidRPr="009977DA">
        <w:rPr>
          <w:rFonts w:ascii="gobCL" w:eastAsiaTheme="minorHAnsi" w:hAnsi="gobCL" w:cs="Tahoma"/>
          <w:sz w:val="22"/>
          <w:szCs w:val="20"/>
        </w:rPr>
        <w:t>Matriz de Riesgos</w:t>
      </w:r>
    </w:p>
    <w:p w:rsidR="009977DA" w:rsidRDefault="009977DA" w:rsidP="009977DA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Ranking de Riesgos</w:t>
      </w:r>
    </w:p>
    <w:p w:rsidR="009977DA" w:rsidRDefault="009977DA" w:rsidP="009977DA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Universo de Riesgos Identificados</w:t>
      </w:r>
    </w:p>
    <w:p w:rsidR="009977DA" w:rsidRDefault="009977DA" w:rsidP="009977DA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Plan de Tratamiento</w:t>
      </w:r>
    </w:p>
    <w:p w:rsidR="00E16E55" w:rsidRPr="009977DA" w:rsidRDefault="00E16E55" w:rsidP="009977DA">
      <w:pPr>
        <w:pStyle w:val="Prrafodelista"/>
        <w:spacing w:after="0" w:line="240" w:lineRule="auto"/>
        <w:ind w:left="720"/>
        <w:rPr>
          <w:rFonts w:ascii="gobCL" w:eastAsiaTheme="minorHAnsi" w:hAnsi="gobCL" w:cs="Tahoma"/>
          <w:sz w:val="22"/>
          <w:szCs w:val="20"/>
        </w:rPr>
      </w:pPr>
    </w:p>
    <w:p w:rsidR="00D10BFB" w:rsidRPr="00132307" w:rsidRDefault="00D10BFB" w:rsidP="009E2CF8">
      <w:pPr>
        <w:spacing w:line="240" w:lineRule="auto"/>
        <w:jc w:val="both"/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 w:rsidRPr="00132307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 xml:space="preserve">Fase </w:t>
      </w:r>
      <w: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3: Monitoreo y Revisión</w:t>
      </w:r>
    </w:p>
    <w:p w:rsidR="00F31DE2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En esta fase es necesario nombrar responsables de monitorear la efectividad de todos los pasos del Proceso de Gestión, para asegurar que se está cumpliendo adecuadamente y que las circunstancias cambiantes no alteran las prioridades al afectar las ponderaciones estratégicas, las probabilidades o impactos de los riesgos, entre otros. </w:t>
      </w:r>
    </w:p>
    <w:p w:rsidR="00F31DE2" w:rsidRDefault="001D1D34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E</w:t>
      </w:r>
      <w:r w:rsidRPr="001A7DA6">
        <w:rPr>
          <w:rFonts w:ascii="gobCL" w:hAnsi="gobCL" w:cs="Tahoma"/>
          <w:szCs w:val="20"/>
        </w:rPr>
        <w:t xml:space="preserve">l Departamento de </w:t>
      </w:r>
      <w:r>
        <w:rPr>
          <w:rFonts w:ascii="gobCL" w:hAnsi="gobCL" w:cs="Tahoma"/>
          <w:szCs w:val="20"/>
        </w:rPr>
        <w:t>Planificación y Control I</w:t>
      </w:r>
      <w:r w:rsidRPr="001A7DA6">
        <w:rPr>
          <w:rFonts w:ascii="gobCL" w:hAnsi="gobCL" w:cs="Tahoma"/>
          <w:szCs w:val="20"/>
        </w:rPr>
        <w:t>nstitucional, en su rol de Secretaría Ejecutiva del Comité de Riesgos</w:t>
      </w:r>
      <w:r>
        <w:rPr>
          <w:rFonts w:ascii="gobCL" w:hAnsi="gobCL" w:cs="Tahoma"/>
          <w:szCs w:val="20"/>
        </w:rPr>
        <w:t xml:space="preserve"> realiza monitoreo trimestral al Plan de Tratamientos de manera tal de poder evaluar la efectividad de </w:t>
      </w:r>
      <w:r w:rsidR="00663A3C">
        <w:rPr>
          <w:rFonts w:ascii="gobCL" w:hAnsi="gobCL" w:cs="Tahoma"/>
          <w:szCs w:val="20"/>
        </w:rPr>
        <w:t>éste</w:t>
      </w:r>
      <w:r w:rsidR="0078365D">
        <w:rPr>
          <w:rFonts w:ascii="gobCL" w:hAnsi="gobCL" w:cs="Tahoma"/>
          <w:szCs w:val="20"/>
        </w:rPr>
        <w:t xml:space="preserve"> y proponer </w:t>
      </w:r>
      <w:r w:rsidR="00663A3C">
        <w:rPr>
          <w:rFonts w:ascii="gobCL" w:hAnsi="gobCL" w:cs="Tahoma"/>
          <w:szCs w:val="20"/>
        </w:rPr>
        <w:t>medidas de mitigación para las metas de bajo</w:t>
      </w:r>
      <w:r w:rsidR="00A61D23">
        <w:rPr>
          <w:rFonts w:ascii="gobCL" w:hAnsi="gobCL" w:cs="Tahoma"/>
          <w:szCs w:val="20"/>
        </w:rPr>
        <w:t xml:space="preserve"> cumplimiento para el periodo</w:t>
      </w:r>
      <w:r w:rsidR="002700D0">
        <w:rPr>
          <w:rFonts w:ascii="gobCL" w:hAnsi="gobCL" w:cs="Tahoma"/>
          <w:szCs w:val="20"/>
        </w:rPr>
        <w:t>,</w:t>
      </w:r>
      <w:r w:rsidR="00A61D23">
        <w:rPr>
          <w:rFonts w:ascii="gobCL" w:hAnsi="gobCL" w:cs="Tahoma"/>
          <w:szCs w:val="20"/>
        </w:rPr>
        <w:t xml:space="preserve"> previamente aprobadas por el Encargado de Riesgos. </w:t>
      </w:r>
    </w:p>
    <w:p w:rsidR="00A61D23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Asimismo se debe procurar porque se formulen estructuras de reportes útiles a la organización, que le permita a la dirección obtener información relevante, en forma oportuna y periódica sobre el estado de los riesgos en cualquier etapa del proceso. </w:t>
      </w:r>
      <w:r w:rsidRPr="001A7DA6">
        <w:rPr>
          <w:rFonts w:ascii="gobCL" w:hAnsi="gobCL" w:cs="Tahoma"/>
          <w:szCs w:val="20"/>
        </w:rPr>
        <w:t xml:space="preserve"> </w:t>
      </w:r>
      <w:r>
        <w:rPr>
          <w:rFonts w:ascii="gobCL" w:hAnsi="gobCL" w:cs="Tahoma"/>
          <w:szCs w:val="20"/>
        </w:rPr>
        <w:t xml:space="preserve">Esta etapa es llevada a cabo por el Departamento de </w:t>
      </w:r>
      <w:r w:rsidR="00A61D23">
        <w:rPr>
          <w:rFonts w:ascii="gobCL" w:hAnsi="gobCL" w:cs="Tahoma"/>
          <w:szCs w:val="20"/>
        </w:rPr>
        <w:t>Planificación y Control Institucional</w:t>
      </w:r>
      <w:r w:rsidR="002700D0">
        <w:rPr>
          <w:rFonts w:ascii="gobCL" w:hAnsi="gobCL" w:cs="Tahoma"/>
          <w:szCs w:val="20"/>
        </w:rPr>
        <w:t xml:space="preserve">, en forma trimestre, se </w:t>
      </w:r>
      <w:r w:rsidR="00546993">
        <w:rPr>
          <w:rFonts w:ascii="gobCL" w:hAnsi="gobCL" w:cs="Tahoma"/>
          <w:szCs w:val="20"/>
        </w:rPr>
        <w:t>realiza un informe de</w:t>
      </w:r>
      <w:r w:rsidR="00A61D23">
        <w:rPr>
          <w:rFonts w:ascii="gobCL" w:hAnsi="gobCL" w:cs="Tahoma"/>
          <w:szCs w:val="20"/>
        </w:rPr>
        <w:t xml:space="preserve"> monitoreo</w:t>
      </w:r>
      <w:r w:rsidR="00546993">
        <w:rPr>
          <w:rFonts w:ascii="gobCL" w:hAnsi="gobCL" w:cs="Tahoma"/>
          <w:szCs w:val="20"/>
        </w:rPr>
        <w:t xml:space="preserve"> del Plan de Tratamiento</w:t>
      </w:r>
      <w:r w:rsidR="00A61D23">
        <w:rPr>
          <w:rFonts w:ascii="gobCL" w:hAnsi="gobCL" w:cs="Tahoma"/>
          <w:szCs w:val="20"/>
        </w:rPr>
        <w:t>, el cual se remite a todo el personal vía mail y se publica en la Intranet del Servicio.</w:t>
      </w:r>
    </w:p>
    <w:p w:rsidR="00F07498" w:rsidRDefault="002700D0" w:rsidP="00F0749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La información que se obtiene</w:t>
      </w:r>
      <w:r w:rsidR="00F07498">
        <w:rPr>
          <w:rFonts w:ascii="gobCL" w:hAnsi="gobCL" w:cs="Tahoma"/>
          <w:szCs w:val="20"/>
        </w:rPr>
        <w:t xml:space="preserve"> de esta fase es la siguiente:</w:t>
      </w:r>
    </w:p>
    <w:p w:rsidR="00F07498" w:rsidRPr="00F07498" w:rsidRDefault="00F07498" w:rsidP="00F07498">
      <w:pPr>
        <w:pStyle w:val="Prrafodelista"/>
        <w:numPr>
          <w:ilvl w:val="0"/>
          <w:numId w:val="9"/>
        </w:numPr>
        <w:spacing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Informe Gestión de Riesgos</w:t>
      </w:r>
    </w:p>
    <w:p w:rsidR="00D10BFB" w:rsidRPr="00132307" w:rsidRDefault="00D10BFB" w:rsidP="009E2CF8">
      <w:pPr>
        <w:spacing w:line="240" w:lineRule="auto"/>
        <w:jc w:val="both"/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 w:rsidRPr="00132307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 xml:space="preserve">Fase </w:t>
      </w:r>
      <w: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4: Comunicación y Consulta</w:t>
      </w:r>
    </w:p>
    <w:p w:rsidR="002700D0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Finalmente en esta fase se desarrollan planes de comunicación y consulta, a través de informar y consultar con los interesados internos y externos, según resulte apropiado en cada etapa del</w:t>
      </w:r>
      <w:r w:rsidR="002700D0">
        <w:rPr>
          <w:rFonts w:ascii="gobCL" w:hAnsi="gobCL" w:cs="Tahoma"/>
          <w:szCs w:val="20"/>
        </w:rPr>
        <w:t xml:space="preserve"> Proceso de Gestión de Riesgos.</w:t>
      </w:r>
    </w:p>
    <w:p w:rsidR="00D10BFB" w:rsidRDefault="00D10BFB" w:rsidP="009E2CF8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 xml:space="preserve">La información es identificada, capturada y comunicada de manera que todos puedan cumplir con sus roles y deberes, y para asegurarse que aquellos responsables de la implementación del </w:t>
      </w:r>
      <w:r w:rsidR="002700D0">
        <w:rPr>
          <w:rFonts w:ascii="gobCL" w:hAnsi="gobCL" w:cs="Tahoma"/>
          <w:szCs w:val="20"/>
        </w:rPr>
        <w:t>PGR</w:t>
      </w:r>
      <w:r>
        <w:rPr>
          <w:rFonts w:ascii="gobCL" w:hAnsi="gobCL" w:cs="Tahoma"/>
          <w:szCs w:val="20"/>
        </w:rPr>
        <w:t xml:space="preserve"> y las partes interesadas comprenden las bases que han servido para tomar decisiones y las razones por las que son necesarias determinadas acciones.</w:t>
      </w:r>
    </w:p>
    <w:p w:rsidR="002700D0" w:rsidRDefault="00B51A1C" w:rsidP="00B51A1C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Esta etapa es llevada a cabo por el Departamento de Planificación y Control Institucional</w:t>
      </w:r>
      <w:r w:rsidR="002700D0">
        <w:rPr>
          <w:rFonts w:ascii="gobCL" w:hAnsi="gobCL" w:cs="Tahoma"/>
          <w:szCs w:val="20"/>
        </w:rPr>
        <w:t xml:space="preserve"> en su rol de Secretaría Ejecutiva y el Comité de Riesgos en las sesiones de trabajo.</w:t>
      </w:r>
    </w:p>
    <w:p w:rsidR="00B51A1C" w:rsidRDefault="00B51A1C" w:rsidP="00B51A1C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La información que se obtienen de esta fase es la siguiente:</w:t>
      </w:r>
    </w:p>
    <w:p w:rsidR="002700D0" w:rsidRDefault="002700D0" w:rsidP="002700D0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Actas Comité de Riesgos</w:t>
      </w:r>
    </w:p>
    <w:p w:rsidR="00B51A1C" w:rsidRDefault="002700D0" w:rsidP="002700D0">
      <w:pPr>
        <w:pStyle w:val="Prrafodelista"/>
        <w:numPr>
          <w:ilvl w:val="0"/>
          <w:numId w:val="9"/>
        </w:numPr>
        <w:spacing w:after="0" w:line="240" w:lineRule="auto"/>
        <w:rPr>
          <w:rFonts w:ascii="gobCL" w:eastAsiaTheme="minorHAnsi" w:hAnsi="gobCL" w:cs="Tahoma"/>
          <w:sz w:val="22"/>
          <w:szCs w:val="20"/>
        </w:rPr>
      </w:pPr>
      <w:r>
        <w:rPr>
          <w:rFonts w:ascii="gobCL" w:eastAsiaTheme="minorHAnsi" w:hAnsi="gobCL" w:cs="Tahoma"/>
          <w:sz w:val="22"/>
          <w:szCs w:val="20"/>
        </w:rPr>
        <w:t>Presentaciones Comité de Riesgos</w:t>
      </w:r>
    </w:p>
    <w:p w:rsidR="002700D0" w:rsidRPr="00B51A1C" w:rsidRDefault="002700D0" w:rsidP="002700D0">
      <w:pPr>
        <w:pStyle w:val="Prrafodelista"/>
        <w:spacing w:after="0" w:line="240" w:lineRule="auto"/>
        <w:ind w:left="720"/>
        <w:rPr>
          <w:rFonts w:ascii="gobCL" w:eastAsiaTheme="minorHAnsi" w:hAnsi="gobCL" w:cs="Tahoma"/>
          <w:sz w:val="22"/>
          <w:szCs w:val="20"/>
        </w:rPr>
      </w:pPr>
    </w:p>
    <w:p w:rsidR="00D10BFB" w:rsidRPr="001A7DA6" w:rsidRDefault="00D10BFB" w:rsidP="000F623C">
      <w:pP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  <w: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Priorización de los procesos</w:t>
      </w:r>
      <w:r w:rsidRPr="001A7DA6"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  <w:t>:</w:t>
      </w:r>
    </w:p>
    <w:p w:rsidR="002700D0" w:rsidRPr="007D7536" w:rsidRDefault="002700D0" w:rsidP="002700D0">
      <w:pPr>
        <w:spacing w:line="240" w:lineRule="auto"/>
        <w:jc w:val="both"/>
        <w:rPr>
          <w:rFonts w:ascii="gobCL" w:hAnsi="gobCL" w:cs="Tahoma"/>
          <w:szCs w:val="20"/>
        </w:rPr>
      </w:pPr>
      <w:r>
        <w:rPr>
          <w:rFonts w:ascii="gobCL" w:hAnsi="gobCL" w:cs="Tahoma"/>
          <w:szCs w:val="20"/>
        </w:rPr>
        <w:t>En el marco del Proceso de G</w:t>
      </w:r>
      <w:r w:rsidR="0076544E" w:rsidRPr="0076544E">
        <w:rPr>
          <w:rFonts w:ascii="gobCL" w:hAnsi="gobCL" w:cs="Tahoma"/>
          <w:szCs w:val="20"/>
        </w:rPr>
        <w:t xml:space="preserve">estión de </w:t>
      </w:r>
      <w:r>
        <w:rPr>
          <w:rFonts w:ascii="gobCL" w:hAnsi="gobCL" w:cs="Tahoma"/>
          <w:szCs w:val="20"/>
        </w:rPr>
        <w:t>R</w:t>
      </w:r>
      <w:r w:rsidR="0076544E" w:rsidRPr="0076544E">
        <w:rPr>
          <w:rFonts w:ascii="gobCL" w:hAnsi="gobCL" w:cs="Tahoma"/>
          <w:szCs w:val="20"/>
        </w:rPr>
        <w:t xml:space="preserve">iesgos, el Gobierno Regional Metropolitano </w:t>
      </w:r>
      <w:r>
        <w:rPr>
          <w:rFonts w:ascii="gobCL" w:hAnsi="gobCL" w:cs="Tahoma"/>
          <w:szCs w:val="20"/>
        </w:rPr>
        <w:t>levanta</w:t>
      </w:r>
      <w:r w:rsidR="0076544E" w:rsidRPr="0076544E">
        <w:rPr>
          <w:rFonts w:ascii="gobCL" w:hAnsi="gobCL" w:cs="Tahoma"/>
          <w:szCs w:val="20"/>
        </w:rPr>
        <w:t xml:space="preserve"> los procesos desagregándolos por subprocesos, etapas, actividades y riesgos y </w:t>
      </w:r>
      <w:r>
        <w:rPr>
          <w:rFonts w:ascii="gobCL" w:hAnsi="gobCL" w:cs="Tahoma"/>
          <w:szCs w:val="20"/>
        </w:rPr>
        <w:t>los prioriza</w:t>
      </w:r>
      <w:r w:rsidR="0076544E" w:rsidRPr="0076544E">
        <w:rPr>
          <w:rFonts w:ascii="gobCL" w:hAnsi="gobCL" w:cs="Tahoma"/>
          <w:szCs w:val="20"/>
        </w:rPr>
        <w:t xml:space="preserve"> en función de la importancia relativa de cada uno de ellos, en </w:t>
      </w:r>
      <w:r>
        <w:rPr>
          <w:rFonts w:ascii="gobCL" w:hAnsi="gobCL" w:cs="Tahoma"/>
          <w:szCs w:val="20"/>
        </w:rPr>
        <w:t>base a</w:t>
      </w:r>
      <w:r w:rsidR="0076544E" w:rsidRPr="0076544E">
        <w:rPr>
          <w:rFonts w:ascii="gobCL" w:hAnsi="gobCL" w:cs="Tahoma"/>
          <w:szCs w:val="20"/>
        </w:rPr>
        <w:t>l cumplimiento de su misión y objetivos es</w:t>
      </w:r>
      <w:r w:rsidR="0076544E">
        <w:rPr>
          <w:rFonts w:ascii="gobCL" w:hAnsi="gobCL" w:cs="Tahoma"/>
          <w:szCs w:val="20"/>
        </w:rPr>
        <w:t>tratégicos. Para ello, utiliza</w:t>
      </w:r>
      <w:r w:rsidR="0076544E" w:rsidRPr="0076544E">
        <w:rPr>
          <w:rFonts w:ascii="gobCL" w:hAnsi="gobCL" w:cs="Tahoma"/>
          <w:szCs w:val="20"/>
        </w:rPr>
        <w:t xml:space="preserve"> la metodología definida </w:t>
      </w:r>
      <w:r>
        <w:rPr>
          <w:rFonts w:ascii="gobCL" w:hAnsi="gobCL" w:cs="Tahoma"/>
          <w:szCs w:val="20"/>
        </w:rPr>
        <w:t xml:space="preserve">Guía Técnica N°70 del Consejo de Auditoría Interna General de Gobierno (CAIGG), </w:t>
      </w:r>
      <w:r>
        <w:rPr>
          <w:rFonts w:ascii="gobCL" w:hAnsi="gobCL" w:cs="Tahoma"/>
          <w:szCs w:val="20"/>
        </w:rPr>
        <w:t xml:space="preserve">con ello </w:t>
      </w:r>
      <w:r>
        <w:rPr>
          <w:rFonts w:ascii="gobCL" w:hAnsi="gobCL" w:cs="Tahoma"/>
          <w:szCs w:val="20"/>
        </w:rPr>
        <w:t>se procede a actualizar la Matriz de Riesgos en conjunto con los centros de responsabilidad  intervinientes</w:t>
      </w:r>
      <w:r>
        <w:rPr>
          <w:rFonts w:ascii="gobCL" w:hAnsi="gobCL"/>
          <w:bCs/>
          <w:i/>
        </w:rPr>
        <w:t xml:space="preserve">. </w:t>
      </w:r>
    </w:p>
    <w:p w:rsidR="0076544E" w:rsidRPr="0076544E" w:rsidRDefault="0076544E" w:rsidP="0076544E">
      <w:pPr>
        <w:jc w:val="both"/>
        <w:rPr>
          <w:rFonts w:ascii="gobCL" w:hAnsi="gobCL" w:cs="Tahoma"/>
          <w:szCs w:val="20"/>
        </w:rPr>
      </w:pPr>
      <w:r w:rsidRPr="0076544E">
        <w:rPr>
          <w:rFonts w:ascii="gobCL" w:hAnsi="gobCL" w:cs="Tahoma"/>
          <w:szCs w:val="20"/>
        </w:rPr>
        <w:t>Como elementos importantes en la gestión de riesgos del Servicio se considera: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integridad y consistencia de los procedimientos administrativos y procesos asociados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calidad de la gestión de los recursos humanos a través, fundamentalmente, de sus habilidades, perfiles y entrenamiento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infraestructura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pertinencia, oportunidad y seguridad de la información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El enfoque preventivo y proactivo</w:t>
      </w:r>
    </w:p>
    <w:p w:rsidR="0076544E" w:rsidRDefault="0076544E" w:rsidP="0076544E">
      <w:pPr>
        <w:spacing w:after="0"/>
        <w:jc w:val="both"/>
        <w:rPr>
          <w:rFonts w:ascii="gobCL" w:hAnsi="gobCL" w:cs="Tahoma"/>
          <w:szCs w:val="20"/>
        </w:rPr>
      </w:pPr>
    </w:p>
    <w:p w:rsidR="0076544E" w:rsidRPr="0076544E" w:rsidRDefault="0076544E" w:rsidP="0076544E">
      <w:pPr>
        <w:jc w:val="both"/>
        <w:rPr>
          <w:rFonts w:ascii="gobCL" w:hAnsi="gobCL" w:cs="Tahoma"/>
          <w:szCs w:val="20"/>
        </w:rPr>
      </w:pPr>
      <w:r w:rsidRPr="0076544E">
        <w:rPr>
          <w:rFonts w:ascii="gobCL" w:hAnsi="gobCL" w:cs="Tahoma"/>
          <w:szCs w:val="20"/>
        </w:rPr>
        <w:t>El proceso de gestión de riesgos dará cumplimiento a los siguientes aspectos: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existencia de un ambiente controlado que establezca estrategias corporativas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 xml:space="preserve">Una estructura de supervisión adecuada que garanticen su operatividad. 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cuantificación del impacto y probabilidad de ocurrencia para cada uno de los riesgos identificados.</w:t>
      </w:r>
    </w:p>
    <w:p w:rsidR="0076544E" w:rsidRPr="0076544E" w:rsidRDefault="0076544E" w:rsidP="0076544E">
      <w:pPr>
        <w:pStyle w:val="Prrafodelista"/>
        <w:numPr>
          <w:ilvl w:val="0"/>
          <w:numId w:val="10"/>
        </w:numPr>
        <w:spacing w:after="0" w:line="240" w:lineRule="auto"/>
        <w:contextualSpacing/>
        <w:rPr>
          <w:rFonts w:ascii="gobCL" w:eastAsiaTheme="minorHAnsi" w:hAnsi="gobCL" w:cs="Tahoma"/>
          <w:sz w:val="22"/>
          <w:szCs w:val="20"/>
        </w:rPr>
      </w:pPr>
      <w:r w:rsidRPr="0076544E">
        <w:rPr>
          <w:rFonts w:ascii="gobCL" w:eastAsiaTheme="minorHAnsi" w:hAnsi="gobCL" w:cs="Tahoma"/>
          <w:sz w:val="22"/>
          <w:szCs w:val="20"/>
        </w:rPr>
        <w:t>La evaluación y seguimiento permanente de eventos que puedan generar perjuicios al Servicio.</w:t>
      </w:r>
    </w:p>
    <w:p w:rsidR="0076544E" w:rsidRDefault="0076544E" w:rsidP="0076544E">
      <w:pPr>
        <w:spacing w:after="0" w:line="240" w:lineRule="auto"/>
        <w:jc w:val="both"/>
        <w:rPr>
          <w:rFonts w:ascii="gobCL" w:hAnsi="gobCL" w:cs="Tahoma"/>
          <w:szCs w:val="20"/>
        </w:rPr>
      </w:pPr>
    </w:p>
    <w:p w:rsidR="00C81E3D" w:rsidRDefault="00C81E3D" w:rsidP="00B62793">
      <w:pPr>
        <w:rPr>
          <w:rFonts w:ascii="gobCL" w:eastAsia="Times New Roman" w:hAnsi="gobCL"/>
          <w:i/>
          <w:iCs/>
          <w:color w:val="4F81BD"/>
          <w:spacing w:val="15"/>
          <w:sz w:val="28"/>
          <w:szCs w:val="24"/>
        </w:rPr>
      </w:pPr>
    </w:p>
    <w:sectPr w:rsidR="00C81E3D" w:rsidSect="00C81E3D">
      <w:headerReference w:type="default" r:id="rId14"/>
      <w:pgSz w:w="12242" w:h="18722" w:code="128"/>
      <w:pgMar w:top="1702" w:right="1701" w:bottom="1135" w:left="1701" w:header="8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74" w:rsidRDefault="00902574" w:rsidP="00D10BFB">
      <w:pPr>
        <w:spacing w:after="0" w:line="240" w:lineRule="auto"/>
      </w:pPr>
      <w:r>
        <w:separator/>
      </w:r>
    </w:p>
  </w:endnote>
  <w:endnote w:type="continuationSeparator" w:id="0">
    <w:p w:rsidR="00902574" w:rsidRDefault="00902574" w:rsidP="00D1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74" w:rsidRDefault="00902574" w:rsidP="00D10BFB">
      <w:pPr>
        <w:spacing w:after="0" w:line="240" w:lineRule="auto"/>
      </w:pPr>
      <w:r>
        <w:separator/>
      </w:r>
    </w:p>
  </w:footnote>
  <w:footnote w:type="continuationSeparator" w:id="0">
    <w:p w:rsidR="00902574" w:rsidRDefault="00902574" w:rsidP="00D1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E2" w:rsidRPr="006741D4" w:rsidRDefault="00F31DE2" w:rsidP="000168B5">
    <w:pPr>
      <w:spacing w:after="0" w:line="60" w:lineRule="atLeast"/>
      <w:jc w:val="center"/>
      <w:rPr>
        <w:rFonts w:ascii="gobCL" w:hAnsi="gobCL"/>
        <w:b/>
        <w:sz w:val="24"/>
      </w:rPr>
    </w:pPr>
    <w:r w:rsidRPr="006741D4">
      <w:rPr>
        <w:rFonts w:ascii="gobCL" w:hAnsi="gobCL" w:cs="Arial"/>
        <w:b/>
        <w:noProof/>
        <w:color w:val="99CCFF"/>
        <w:sz w:val="24"/>
        <w:szCs w:val="20"/>
        <w:lang w:eastAsia="es-CL"/>
      </w:rPr>
      <w:drawing>
        <wp:anchor distT="0" distB="0" distL="114300" distR="114300" simplePos="0" relativeHeight="251667456" behindDoc="0" locked="0" layoutInCell="1" allowOverlap="1" wp14:anchorId="7EB1D3F6" wp14:editId="071D83E6">
          <wp:simplePos x="0" y="0"/>
          <wp:positionH relativeFrom="column">
            <wp:posOffset>9770110</wp:posOffset>
          </wp:positionH>
          <wp:positionV relativeFrom="paragraph">
            <wp:posOffset>-206375</wp:posOffset>
          </wp:positionV>
          <wp:extent cx="647700" cy="593725"/>
          <wp:effectExtent l="0" t="0" r="0" b="0"/>
          <wp:wrapNone/>
          <wp:docPr id="23" name="Imagen 23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1D4">
      <w:rPr>
        <w:rFonts w:ascii="gobCL" w:hAnsi="gobCL"/>
        <w:b/>
        <w:noProof/>
        <w:color w:val="0066CC"/>
        <w:szCs w:val="18"/>
        <w:lang w:eastAsia="es-CL"/>
      </w:rPr>
      <w:drawing>
        <wp:anchor distT="0" distB="0" distL="114300" distR="114300" simplePos="0" relativeHeight="251668480" behindDoc="1" locked="0" layoutInCell="1" allowOverlap="1" wp14:anchorId="503C7B4D" wp14:editId="3B531DFA">
          <wp:simplePos x="0" y="0"/>
          <wp:positionH relativeFrom="column">
            <wp:posOffset>0</wp:posOffset>
          </wp:positionH>
          <wp:positionV relativeFrom="paragraph">
            <wp:posOffset>-179705</wp:posOffset>
          </wp:positionV>
          <wp:extent cx="571500" cy="571500"/>
          <wp:effectExtent l="0" t="0" r="0" b="0"/>
          <wp:wrapNone/>
          <wp:docPr id="24" name="Imagen 24" descr="GOB_RG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B_RGB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1D4">
      <w:rPr>
        <w:rFonts w:ascii="gobCL" w:hAnsi="gobCL"/>
        <w:b/>
        <w:color w:val="0066CC"/>
        <w:szCs w:val="18"/>
      </w:rPr>
      <w:t>DEPARTAMENTO DE GESTIÓN INSTITUCIONAL</w:t>
    </w:r>
    <w:r w:rsidRPr="006741D4">
      <w:rPr>
        <w:rFonts w:ascii="gobCL" w:hAnsi="gobCL"/>
        <w:b/>
        <w:sz w:val="24"/>
      </w:rPr>
      <w:t xml:space="preserve"> </w:t>
    </w:r>
  </w:p>
  <w:p w:rsidR="00F31DE2" w:rsidRDefault="00F31D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718E"/>
    <w:multiLevelType w:val="hybridMultilevel"/>
    <w:tmpl w:val="40E032A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480DD5"/>
    <w:multiLevelType w:val="hybridMultilevel"/>
    <w:tmpl w:val="CB3E92C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AFA"/>
    <w:multiLevelType w:val="hybridMultilevel"/>
    <w:tmpl w:val="72DCC23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623D6"/>
    <w:multiLevelType w:val="hybridMultilevel"/>
    <w:tmpl w:val="24A05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3C6D"/>
    <w:multiLevelType w:val="hybridMultilevel"/>
    <w:tmpl w:val="E23E0F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016"/>
    <w:multiLevelType w:val="hybridMultilevel"/>
    <w:tmpl w:val="0436DA06"/>
    <w:lvl w:ilvl="0" w:tplc="26D8A5EE">
      <w:numFmt w:val="bullet"/>
      <w:lvlText w:val="-"/>
      <w:lvlJc w:val="left"/>
      <w:pPr>
        <w:ind w:left="720" w:hanging="360"/>
      </w:pPr>
      <w:rPr>
        <w:rFonts w:ascii="gobCL" w:eastAsiaTheme="minorHAnsi" w:hAnsi="gobCL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52F8"/>
    <w:multiLevelType w:val="hybridMultilevel"/>
    <w:tmpl w:val="C44AEF4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2D3223"/>
    <w:multiLevelType w:val="hybridMultilevel"/>
    <w:tmpl w:val="3426DDC6"/>
    <w:lvl w:ilvl="0" w:tplc="0C0A0009">
      <w:start w:val="1"/>
      <w:numFmt w:val="bullet"/>
      <w:lvlText w:val=""/>
      <w:lvlJc w:val="left"/>
      <w:pPr>
        <w:tabs>
          <w:tab w:val="num" w:pos="745"/>
        </w:tabs>
        <w:ind w:left="74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508E16BE"/>
    <w:multiLevelType w:val="hybridMultilevel"/>
    <w:tmpl w:val="A0DE177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473762"/>
    <w:multiLevelType w:val="hybridMultilevel"/>
    <w:tmpl w:val="E8C8F838"/>
    <w:lvl w:ilvl="0" w:tplc="54A0F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B"/>
    <w:rsid w:val="000168B5"/>
    <w:rsid w:val="00052E29"/>
    <w:rsid w:val="00073E62"/>
    <w:rsid w:val="00080B3F"/>
    <w:rsid w:val="000A2887"/>
    <w:rsid w:val="000A680D"/>
    <w:rsid w:val="000B1547"/>
    <w:rsid w:val="000C29F6"/>
    <w:rsid w:val="000D5171"/>
    <w:rsid w:val="000E10D7"/>
    <w:rsid w:val="000F623C"/>
    <w:rsid w:val="000F71FC"/>
    <w:rsid w:val="0013515A"/>
    <w:rsid w:val="001369E7"/>
    <w:rsid w:val="0015177D"/>
    <w:rsid w:val="00156854"/>
    <w:rsid w:val="001600B1"/>
    <w:rsid w:val="00167F4C"/>
    <w:rsid w:val="00183D41"/>
    <w:rsid w:val="00191DB5"/>
    <w:rsid w:val="001D1D34"/>
    <w:rsid w:val="001E04D1"/>
    <w:rsid w:val="001E6E9B"/>
    <w:rsid w:val="001F1CAA"/>
    <w:rsid w:val="001F638C"/>
    <w:rsid w:val="00231F8D"/>
    <w:rsid w:val="002371FF"/>
    <w:rsid w:val="00252132"/>
    <w:rsid w:val="002700D0"/>
    <w:rsid w:val="0028013A"/>
    <w:rsid w:val="002B5E31"/>
    <w:rsid w:val="002C5E18"/>
    <w:rsid w:val="002C753B"/>
    <w:rsid w:val="003046C0"/>
    <w:rsid w:val="00325A22"/>
    <w:rsid w:val="003548A4"/>
    <w:rsid w:val="003A28D2"/>
    <w:rsid w:val="003B3274"/>
    <w:rsid w:val="003C392F"/>
    <w:rsid w:val="00413B73"/>
    <w:rsid w:val="004460AE"/>
    <w:rsid w:val="00460329"/>
    <w:rsid w:val="004603A8"/>
    <w:rsid w:val="00460A4B"/>
    <w:rsid w:val="004671F2"/>
    <w:rsid w:val="00474502"/>
    <w:rsid w:val="00475F99"/>
    <w:rsid w:val="004B2179"/>
    <w:rsid w:val="004C0209"/>
    <w:rsid w:val="004C3748"/>
    <w:rsid w:val="004D61D5"/>
    <w:rsid w:val="00514080"/>
    <w:rsid w:val="00531143"/>
    <w:rsid w:val="00546993"/>
    <w:rsid w:val="00572026"/>
    <w:rsid w:val="00581397"/>
    <w:rsid w:val="00582EF6"/>
    <w:rsid w:val="005869CE"/>
    <w:rsid w:val="005B1A58"/>
    <w:rsid w:val="005B5E92"/>
    <w:rsid w:val="005F4576"/>
    <w:rsid w:val="005F5BCA"/>
    <w:rsid w:val="00631B9F"/>
    <w:rsid w:val="00663A3C"/>
    <w:rsid w:val="006927C2"/>
    <w:rsid w:val="00695DC1"/>
    <w:rsid w:val="006A45E9"/>
    <w:rsid w:val="006B3AEC"/>
    <w:rsid w:val="006C576A"/>
    <w:rsid w:val="006F256A"/>
    <w:rsid w:val="00706D83"/>
    <w:rsid w:val="0076544E"/>
    <w:rsid w:val="00771A95"/>
    <w:rsid w:val="0078365D"/>
    <w:rsid w:val="0079458C"/>
    <w:rsid w:val="007C3E2E"/>
    <w:rsid w:val="007C6DAA"/>
    <w:rsid w:val="007F2952"/>
    <w:rsid w:val="008173FC"/>
    <w:rsid w:val="00835A8E"/>
    <w:rsid w:val="00845BA0"/>
    <w:rsid w:val="00864F8C"/>
    <w:rsid w:val="008764B3"/>
    <w:rsid w:val="008837A5"/>
    <w:rsid w:val="0089329A"/>
    <w:rsid w:val="008A582A"/>
    <w:rsid w:val="008B437E"/>
    <w:rsid w:val="008B6E7F"/>
    <w:rsid w:val="008C2848"/>
    <w:rsid w:val="008D1C30"/>
    <w:rsid w:val="008F06D4"/>
    <w:rsid w:val="00902574"/>
    <w:rsid w:val="00914727"/>
    <w:rsid w:val="009252A5"/>
    <w:rsid w:val="00933C0F"/>
    <w:rsid w:val="00934B3B"/>
    <w:rsid w:val="009605A6"/>
    <w:rsid w:val="0098537D"/>
    <w:rsid w:val="00996C35"/>
    <w:rsid w:val="009977DA"/>
    <w:rsid w:val="009C4A9E"/>
    <w:rsid w:val="009E2CF8"/>
    <w:rsid w:val="009F1204"/>
    <w:rsid w:val="00A130F8"/>
    <w:rsid w:val="00A135BE"/>
    <w:rsid w:val="00A15BCC"/>
    <w:rsid w:val="00A32E3D"/>
    <w:rsid w:val="00A61D23"/>
    <w:rsid w:val="00A66139"/>
    <w:rsid w:val="00A94921"/>
    <w:rsid w:val="00AA532E"/>
    <w:rsid w:val="00AB2F8E"/>
    <w:rsid w:val="00B0671B"/>
    <w:rsid w:val="00B438B5"/>
    <w:rsid w:val="00B51A1C"/>
    <w:rsid w:val="00B57C87"/>
    <w:rsid w:val="00B62793"/>
    <w:rsid w:val="00B730CB"/>
    <w:rsid w:val="00B83CDC"/>
    <w:rsid w:val="00BA35E7"/>
    <w:rsid w:val="00BB2FF2"/>
    <w:rsid w:val="00BD451A"/>
    <w:rsid w:val="00BD48C4"/>
    <w:rsid w:val="00BE3AEF"/>
    <w:rsid w:val="00BF77CC"/>
    <w:rsid w:val="00C3670D"/>
    <w:rsid w:val="00C44096"/>
    <w:rsid w:val="00C45194"/>
    <w:rsid w:val="00C6480B"/>
    <w:rsid w:val="00C7573C"/>
    <w:rsid w:val="00C81E3D"/>
    <w:rsid w:val="00C94A8D"/>
    <w:rsid w:val="00CC286C"/>
    <w:rsid w:val="00CD33D0"/>
    <w:rsid w:val="00CE7DEE"/>
    <w:rsid w:val="00D03329"/>
    <w:rsid w:val="00D07187"/>
    <w:rsid w:val="00D10BFB"/>
    <w:rsid w:val="00D13DAF"/>
    <w:rsid w:val="00D24523"/>
    <w:rsid w:val="00D30E4A"/>
    <w:rsid w:val="00D76CFA"/>
    <w:rsid w:val="00D81692"/>
    <w:rsid w:val="00D937C2"/>
    <w:rsid w:val="00DC3F5C"/>
    <w:rsid w:val="00DC4092"/>
    <w:rsid w:val="00DC451C"/>
    <w:rsid w:val="00E03134"/>
    <w:rsid w:val="00E16E55"/>
    <w:rsid w:val="00E2043E"/>
    <w:rsid w:val="00E21D17"/>
    <w:rsid w:val="00E73312"/>
    <w:rsid w:val="00E7533A"/>
    <w:rsid w:val="00E77206"/>
    <w:rsid w:val="00E80B98"/>
    <w:rsid w:val="00EB34D0"/>
    <w:rsid w:val="00EF3F02"/>
    <w:rsid w:val="00F0400D"/>
    <w:rsid w:val="00F07498"/>
    <w:rsid w:val="00F31DE2"/>
    <w:rsid w:val="00F52E33"/>
    <w:rsid w:val="00F8181F"/>
    <w:rsid w:val="00F966E4"/>
    <w:rsid w:val="00F97ABF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269DC-D180-4B1F-99D7-886B239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FB"/>
  </w:style>
  <w:style w:type="paragraph" w:styleId="Piedepgina">
    <w:name w:val="footer"/>
    <w:basedOn w:val="Normal"/>
    <w:link w:val="PiedepginaCar"/>
    <w:unhideWhenUsed/>
    <w:rsid w:val="00D10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FB"/>
  </w:style>
  <w:style w:type="character" w:styleId="Nmerodepgina">
    <w:name w:val="page number"/>
    <w:basedOn w:val="Fuentedeprrafopredeter"/>
    <w:rsid w:val="00D10BFB"/>
  </w:style>
  <w:style w:type="paragraph" w:styleId="Prrafodelista">
    <w:name w:val="List Paragraph"/>
    <w:basedOn w:val="Normal"/>
    <w:uiPriority w:val="99"/>
    <w:qFormat/>
    <w:rsid w:val="00D10BFB"/>
    <w:pPr>
      <w:ind w:left="708"/>
      <w:jc w:val="both"/>
    </w:pPr>
    <w:rPr>
      <w:rFonts w:ascii="Arial" w:eastAsia="Calibri" w:hAnsi="Arial" w:cs="Times New Roman"/>
      <w:sz w:val="20"/>
    </w:rPr>
  </w:style>
  <w:style w:type="paragraph" w:styleId="Subttulo">
    <w:name w:val="Subtitle"/>
    <w:basedOn w:val="Normal"/>
    <w:next w:val="Normal"/>
    <w:link w:val="SubttuloCar"/>
    <w:qFormat/>
    <w:rsid w:val="00D10BFB"/>
    <w:pPr>
      <w:numPr>
        <w:ilvl w:val="1"/>
      </w:num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10BF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9229BC-A2E1-4552-822E-F1AA11B626A5}" type="doc">
      <dgm:prSet loTypeId="urn:microsoft.com/office/officeart/2005/8/layout/orgChart1" loCatId="hierarchy" qsTypeId="urn:microsoft.com/office/officeart/2005/8/quickstyle/simple5" qsCatId="simple" csTypeId="urn:microsoft.com/office/officeart/2005/8/colors/colorful5" csCatId="colorful" phldr="1"/>
      <dgm:spPr/>
    </dgm:pt>
    <dgm:pt modelId="{09FB74F5-7912-4224-94AD-32B3420FE63B}">
      <dgm:prSet/>
      <dgm:spPr/>
      <dgm:t>
        <a:bodyPr/>
        <a:lstStyle/>
        <a:p>
          <a:pPr marR="0" algn="ctr" rtl="0"/>
          <a:r>
            <a:rPr lang="es-MX" b="1" baseline="0" smtClean="0">
              <a:latin typeface="Arial"/>
            </a:rPr>
            <a:t>Jefe/a de Servicio</a:t>
          </a:r>
        </a:p>
        <a:p>
          <a:pPr marR="0" algn="ctr" rtl="0"/>
          <a:r>
            <a:rPr lang="es-MX" b="1" baseline="0" smtClean="0">
              <a:latin typeface="Arial"/>
            </a:rPr>
            <a:t>Intendente/a</a:t>
          </a:r>
          <a:endParaRPr lang="es-CL" smtClean="0"/>
        </a:p>
      </dgm:t>
    </dgm:pt>
    <dgm:pt modelId="{A3EB6AFA-47A4-4C97-B2BA-9CDF669C9C15}" type="parTrans" cxnId="{8B839EED-36AF-4E6B-B747-AB2A617163DE}">
      <dgm:prSet/>
      <dgm:spPr/>
      <dgm:t>
        <a:bodyPr/>
        <a:lstStyle/>
        <a:p>
          <a:pPr algn="ctr"/>
          <a:endParaRPr lang="es-CL"/>
        </a:p>
      </dgm:t>
    </dgm:pt>
    <dgm:pt modelId="{65A91BEA-2575-4AF7-AB07-F06787C9608D}" type="sibTrans" cxnId="{8B839EED-36AF-4E6B-B747-AB2A617163DE}">
      <dgm:prSet/>
      <dgm:spPr/>
      <dgm:t>
        <a:bodyPr/>
        <a:lstStyle/>
        <a:p>
          <a:pPr algn="ctr"/>
          <a:endParaRPr lang="es-CL"/>
        </a:p>
      </dgm:t>
    </dgm:pt>
    <dgm:pt modelId="{7A9793D4-11AF-4718-ABD4-87590BE50E52}">
      <dgm:prSet/>
      <dgm:spPr/>
      <dgm:t>
        <a:bodyPr/>
        <a:lstStyle/>
        <a:p>
          <a:pPr marR="0" algn="ctr" rtl="0"/>
          <a:r>
            <a:rPr lang="es-CL" b="1" smtClean="0">
              <a:latin typeface="Arial" pitchFamily="34" charset="0"/>
              <a:cs typeface="Arial" pitchFamily="34" charset="0"/>
            </a:rPr>
            <a:t>Secretaría Ejecutiva</a:t>
          </a:r>
        </a:p>
        <a:p>
          <a:pPr marR="0" algn="ctr" rtl="0"/>
          <a:r>
            <a:rPr lang="es-CL" b="1" smtClean="0">
              <a:latin typeface="Arial" pitchFamily="34" charset="0"/>
              <a:cs typeface="Arial" pitchFamily="34" charset="0"/>
            </a:rPr>
            <a:t>Jefatura Departamento de Planificación y Control Institucional</a:t>
          </a:r>
        </a:p>
      </dgm:t>
    </dgm:pt>
    <dgm:pt modelId="{14BE28C2-9A1F-4416-A4B8-BC7A347146D9}" type="parTrans" cxnId="{8C562FF8-2C3A-4C72-9B0F-95531BF44129}">
      <dgm:prSet/>
      <dgm:spPr/>
      <dgm:t>
        <a:bodyPr/>
        <a:lstStyle/>
        <a:p>
          <a:pPr algn="ctr"/>
          <a:endParaRPr lang="es-CL"/>
        </a:p>
      </dgm:t>
    </dgm:pt>
    <dgm:pt modelId="{02A65CE2-9DBB-4EC2-842D-1ABA619BD19F}" type="sibTrans" cxnId="{8C562FF8-2C3A-4C72-9B0F-95531BF44129}">
      <dgm:prSet/>
      <dgm:spPr/>
      <dgm:t>
        <a:bodyPr/>
        <a:lstStyle/>
        <a:p>
          <a:pPr algn="ctr"/>
          <a:endParaRPr lang="es-CL"/>
        </a:p>
      </dgm:t>
    </dgm:pt>
    <dgm:pt modelId="{52C01F92-3786-4354-8D8E-354527C8BF70}">
      <dgm:prSet/>
      <dgm:spPr/>
      <dgm:t>
        <a:bodyPr/>
        <a:lstStyle/>
        <a:p>
          <a:pPr marR="0" algn="ctr" rtl="0"/>
          <a:r>
            <a:rPr lang="es-MX" b="1" baseline="0" smtClean="0">
              <a:latin typeface="Arial"/>
            </a:rPr>
            <a:t>Comité de Riesgos</a:t>
          </a:r>
          <a:endParaRPr lang="es-CL" smtClean="0"/>
        </a:p>
      </dgm:t>
    </dgm:pt>
    <dgm:pt modelId="{5C1742BA-50A9-4E5B-A67A-9C7681501368}" type="parTrans" cxnId="{97D2D7B6-2854-40E3-BC95-CCA638C1BE86}">
      <dgm:prSet/>
      <dgm:spPr/>
      <dgm:t>
        <a:bodyPr/>
        <a:lstStyle/>
        <a:p>
          <a:pPr algn="ctr"/>
          <a:endParaRPr lang="es-CL"/>
        </a:p>
      </dgm:t>
    </dgm:pt>
    <dgm:pt modelId="{3467D2E9-22C5-4375-A1FC-C77AC991CD57}" type="sibTrans" cxnId="{97D2D7B6-2854-40E3-BC95-CCA638C1BE86}">
      <dgm:prSet/>
      <dgm:spPr/>
      <dgm:t>
        <a:bodyPr/>
        <a:lstStyle/>
        <a:p>
          <a:pPr algn="ctr"/>
          <a:endParaRPr lang="es-CL"/>
        </a:p>
      </dgm:t>
    </dgm:pt>
    <dgm:pt modelId="{8F53438B-D12E-46F1-A53B-107B72A4B47D}">
      <dgm:prSet/>
      <dgm:spPr/>
      <dgm:t>
        <a:bodyPr/>
        <a:lstStyle/>
        <a:p>
          <a:pPr marR="0" algn="ctr" rtl="0"/>
          <a:r>
            <a:rPr lang="es-MX" b="1" baseline="0" smtClean="0">
              <a:latin typeface="Arial"/>
            </a:rPr>
            <a:t>Coordinadores de Riesgo</a:t>
          </a:r>
          <a:endParaRPr lang="es-CL" smtClean="0"/>
        </a:p>
      </dgm:t>
    </dgm:pt>
    <dgm:pt modelId="{104CA721-8702-45A2-BC64-0EC143F0B354}" type="parTrans" cxnId="{7D6CF263-6D5F-48A2-BAC8-677F0A5AB094}">
      <dgm:prSet/>
      <dgm:spPr/>
      <dgm:t>
        <a:bodyPr/>
        <a:lstStyle/>
        <a:p>
          <a:pPr algn="ctr"/>
          <a:endParaRPr lang="es-CL"/>
        </a:p>
      </dgm:t>
    </dgm:pt>
    <dgm:pt modelId="{02900259-CD24-4D8C-BF7F-4CDCF995327D}" type="sibTrans" cxnId="{7D6CF263-6D5F-48A2-BAC8-677F0A5AB094}">
      <dgm:prSet/>
      <dgm:spPr/>
      <dgm:t>
        <a:bodyPr/>
        <a:lstStyle/>
        <a:p>
          <a:pPr algn="ctr"/>
          <a:endParaRPr lang="es-CL"/>
        </a:p>
      </dgm:t>
    </dgm:pt>
    <dgm:pt modelId="{0B0B4711-6F97-4083-A3AA-F9ACFC85B4ED}">
      <dgm:prSet/>
      <dgm:spPr/>
      <dgm:t>
        <a:bodyPr/>
        <a:lstStyle/>
        <a:p>
          <a:pPr algn="ctr"/>
          <a:r>
            <a:rPr lang="es-MX" b="1" baseline="0" smtClean="0">
              <a:latin typeface="Arial"/>
            </a:rPr>
            <a:t>Encargado/a de Riesgos</a:t>
          </a:r>
        </a:p>
        <a:p>
          <a:pPr algn="ctr" rtl="0"/>
          <a:r>
            <a:rPr lang="es-MX" b="1" baseline="0" smtClean="0">
              <a:latin typeface="Arial"/>
            </a:rPr>
            <a:t>Jefatura División de Administración y Finanzas</a:t>
          </a:r>
          <a:endParaRPr lang="es-CL"/>
        </a:p>
      </dgm:t>
    </dgm:pt>
    <dgm:pt modelId="{4F29EEDE-0A3E-48A8-B53B-32AF33FE52B5}" type="parTrans" cxnId="{3A3A16F2-80DF-4258-AE5F-F95286D0621F}">
      <dgm:prSet/>
      <dgm:spPr/>
      <dgm:t>
        <a:bodyPr/>
        <a:lstStyle/>
        <a:p>
          <a:pPr algn="ctr"/>
          <a:endParaRPr lang="es-CL"/>
        </a:p>
      </dgm:t>
    </dgm:pt>
    <dgm:pt modelId="{FAFB247F-0DE2-4226-956B-7C0E4B080C81}" type="sibTrans" cxnId="{3A3A16F2-80DF-4258-AE5F-F95286D0621F}">
      <dgm:prSet/>
      <dgm:spPr/>
      <dgm:t>
        <a:bodyPr/>
        <a:lstStyle/>
        <a:p>
          <a:pPr algn="ctr"/>
          <a:endParaRPr lang="es-CL"/>
        </a:p>
      </dgm:t>
    </dgm:pt>
    <dgm:pt modelId="{99AA4E44-F3C9-4A95-96D7-0FA1F134CB65}" type="pres">
      <dgm:prSet presAssocID="{3F9229BC-A2E1-4552-822E-F1AA11B626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6288CCE-E486-48C3-A31A-9A50D44E5FE1}" type="pres">
      <dgm:prSet presAssocID="{09FB74F5-7912-4224-94AD-32B3420FE63B}" presName="hierRoot1" presStyleCnt="0">
        <dgm:presLayoutVars>
          <dgm:hierBranch/>
        </dgm:presLayoutVars>
      </dgm:prSet>
      <dgm:spPr/>
    </dgm:pt>
    <dgm:pt modelId="{6B23CD29-B18C-4543-A07B-B1D53BCFEADC}" type="pres">
      <dgm:prSet presAssocID="{09FB74F5-7912-4224-94AD-32B3420FE63B}" presName="rootComposite1" presStyleCnt="0"/>
      <dgm:spPr/>
    </dgm:pt>
    <dgm:pt modelId="{009A0C5F-1A73-4CC8-BAAB-3B555AF5E6F4}" type="pres">
      <dgm:prSet presAssocID="{09FB74F5-7912-4224-94AD-32B3420FE63B}" presName="rootText1" presStyleLbl="node0" presStyleIdx="0" presStyleCnt="1" custScaleX="128979" custScaleY="15101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0C3DA3F-59D6-4B58-8BB1-8BDAF9A70A9E}" type="pres">
      <dgm:prSet presAssocID="{09FB74F5-7912-4224-94AD-32B3420FE63B}" presName="rootConnector1" presStyleLbl="node1" presStyleIdx="0" presStyleCnt="0"/>
      <dgm:spPr/>
      <dgm:t>
        <a:bodyPr/>
        <a:lstStyle/>
        <a:p>
          <a:endParaRPr lang="es-CL"/>
        </a:p>
      </dgm:t>
    </dgm:pt>
    <dgm:pt modelId="{725766AA-F664-4203-9A85-C21DC824F391}" type="pres">
      <dgm:prSet presAssocID="{09FB74F5-7912-4224-94AD-32B3420FE63B}" presName="hierChild2" presStyleCnt="0"/>
      <dgm:spPr/>
    </dgm:pt>
    <dgm:pt modelId="{20F27AFD-E43E-424B-861C-7DC98516183E}" type="pres">
      <dgm:prSet presAssocID="{4F29EEDE-0A3E-48A8-B53B-32AF33FE52B5}" presName="Name35" presStyleLbl="parChTrans1D2" presStyleIdx="0" presStyleCnt="1"/>
      <dgm:spPr/>
      <dgm:t>
        <a:bodyPr/>
        <a:lstStyle/>
        <a:p>
          <a:endParaRPr lang="es-CL"/>
        </a:p>
      </dgm:t>
    </dgm:pt>
    <dgm:pt modelId="{EAE54605-E118-45E5-ADF4-CECC1E360AB0}" type="pres">
      <dgm:prSet presAssocID="{0B0B4711-6F97-4083-A3AA-F9ACFC85B4ED}" presName="hierRoot2" presStyleCnt="0">
        <dgm:presLayoutVars>
          <dgm:hierBranch val="init"/>
        </dgm:presLayoutVars>
      </dgm:prSet>
      <dgm:spPr/>
    </dgm:pt>
    <dgm:pt modelId="{7504D858-6E26-48B5-92A5-C8CB2FA2C820}" type="pres">
      <dgm:prSet presAssocID="{0B0B4711-6F97-4083-A3AA-F9ACFC85B4ED}" presName="rootComposite" presStyleCnt="0"/>
      <dgm:spPr/>
    </dgm:pt>
    <dgm:pt modelId="{2996659C-5BBA-4CD7-B7BA-5EBE7EF3FFF4}" type="pres">
      <dgm:prSet presAssocID="{0B0B4711-6F97-4083-A3AA-F9ACFC85B4ED}" presName="rootText" presStyleLbl="node2" presStyleIdx="0" presStyleCnt="1" custScaleX="167877" custScaleY="18303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BE5AB80-A103-4787-8B39-2BA99D0987B4}" type="pres">
      <dgm:prSet presAssocID="{0B0B4711-6F97-4083-A3AA-F9ACFC85B4ED}" presName="rootConnector" presStyleLbl="node2" presStyleIdx="0" presStyleCnt="1"/>
      <dgm:spPr/>
      <dgm:t>
        <a:bodyPr/>
        <a:lstStyle/>
        <a:p>
          <a:endParaRPr lang="es-CL"/>
        </a:p>
      </dgm:t>
    </dgm:pt>
    <dgm:pt modelId="{D16A1447-07B0-429E-841A-F3E3DBE80DA1}" type="pres">
      <dgm:prSet presAssocID="{0B0B4711-6F97-4083-A3AA-F9ACFC85B4ED}" presName="hierChild4" presStyleCnt="0"/>
      <dgm:spPr/>
    </dgm:pt>
    <dgm:pt modelId="{74FED0ED-859D-43E8-BBD0-D904D930A6D4}" type="pres">
      <dgm:prSet presAssocID="{14BE28C2-9A1F-4416-A4B8-BC7A347146D9}" presName="Name37" presStyleLbl="parChTrans1D3" presStyleIdx="0" presStyleCnt="1"/>
      <dgm:spPr/>
      <dgm:t>
        <a:bodyPr/>
        <a:lstStyle/>
        <a:p>
          <a:endParaRPr lang="es-CL"/>
        </a:p>
      </dgm:t>
    </dgm:pt>
    <dgm:pt modelId="{9DCB9338-2733-4304-AAFE-18D17879974D}" type="pres">
      <dgm:prSet presAssocID="{7A9793D4-11AF-4718-ABD4-87590BE50E52}" presName="hierRoot2" presStyleCnt="0">
        <dgm:presLayoutVars>
          <dgm:hierBranch/>
        </dgm:presLayoutVars>
      </dgm:prSet>
      <dgm:spPr/>
    </dgm:pt>
    <dgm:pt modelId="{0E4D7BE4-0361-405A-970D-026E246F5D0E}" type="pres">
      <dgm:prSet presAssocID="{7A9793D4-11AF-4718-ABD4-87590BE50E52}" presName="rootComposite" presStyleCnt="0"/>
      <dgm:spPr/>
    </dgm:pt>
    <dgm:pt modelId="{ECED4E42-24C9-40A7-984F-E812135D1AE7}" type="pres">
      <dgm:prSet presAssocID="{7A9793D4-11AF-4718-ABD4-87590BE50E52}" presName="rootText" presStyleLbl="node3" presStyleIdx="0" presStyleCnt="1" custScaleX="196539" custScaleY="143310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03E7C04C-1E01-4D2B-8C69-B04F91DDD0BE}" type="pres">
      <dgm:prSet presAssocID="{7A9793D4-11AF-4718-ABD4-87590BE50E52}" presName="rootConnector" presStyleLbl="node3" presStyleIdx="0" presStyleCnt="1"/>
      <dgm:spPr/>
      <dgm:t>
        <a:bodyPr/>
        <a:lstStyle/>
        <a:p>
          <a:endParaRPr lang="es-CL"/>
        </a:p>
      </dgm:t>
    </dgm:pt>
    <dgm:pt modelId="{FEE27685-9C08-40F9-831F-A389BB5DB6C4}" type="pres">
      <dgm:prSet presAssocID="{7A9793D4-11AF-4718-ABD4-87590BE50E52}" presName="hierChild4" presStyleCnt="0"/>
      <dgm:spPr/>
    </dgm:pt>
    <dgm:pt modelId="{B32AF4BB-DD45-4AA3-A701-623AD1992A27}" type="pres">
      <dgm:prSet presAssocID="{5C1742BA-50A9-4E5B-A67A-9C7681501368}" presName="Name35" presStyleLbl="parChTrans1D4" presStyleIdx="0" presStyleCnt="2"/>
      <dgm:spPr/>
      <dgm:t>
        <a:bodyPr/>
        <a:lstStyle/>
        <a:p>
          <a:endParaRPr lang="es-CL"/>
        </a:p>
      </dgm:t>
    </dgm:pt>
    <dgm:pt modelId="{49EE5B36-70C5-4498-B8FA-244BC2EC8630}" type="pres">
      <dgm:prSet presAssocID="{52C01F92-3786-4354-8D8E-354527C8BF70}" presName="hierRoot2" presStyleCnt="0">
        <dgm:presLayoutVars>
          <dgm:hierBranch val="r"/>
        </dgm:presLayoutVars>
      </dgm:prSet>
      <dgm:spPr/>
    </dgm:pt>
    <dgm:pt modelId="{FB96DD91-5F6A-45D2-8A9B-E2AA5757BA84}" type="pres">
      <dgm:prSet presAssocID="{52C01F92-3786-4354-8D8E-354527C8BF70}" presName="rootComposite" presStyleCnt="0"/>
      <dgm:spPr/>
    </dgm:pt>
    <dgm:pt modelId="{A9014207-50B8-494F-AE0C-7F81B553CD6F}" type="pres">
      <dgm:prSet presAssocID="{52C01F92-3786-4354-8D8E-354527C8BF70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E4B606A-4D53-424E-8FE2-3E0282CA6A50}" type="pres">
      <dgm:prSet presAssocID="{52C01F92-3786-4354-8D8E-354527C8BF70}" presName="rootConnector" presStyleLbl="node4" presStyleIdx="0" presStyleCnt="2"/>
      <dgm:spPr/>
      <dgm:t>
        <a:bodyPr/>
        <a:lstStyle/>
        <a:p>
          <a:endParaRPr lang="es-CL"/>
        </a:p>
      </dgm:t>
    </dgm:pt>
    <dgm:pt modelId="{1D847D6E-267F-45EA-B00C-169C02729FAB}" type="pres">
      <dgm:prSet presAssocID="{52C01F92-3786-4354-8D8E-354527C8BF70}" presName="hierChild4" presStyleCnt="0"/>
      <dgm:spPr/>
    </dgm:pt>
    <dgm:pt modelId="{F644D519-0ABE-4838-9601-476054E8060D}" type="pres">
      <dgm:prSet presAssocID="{52C01F92-3786-4354-8D8E-354527C8BF70}" presName="hierChild5" presStyleCnt="0"/>
      <dgm:spPr/>
    </dgm:pt>
    <dgm:pt modelId="{EAE340C5-6C84-4A0A-9CF4-8BF1040A0133}" type="pres">
      <dgm:prSet presAssocID="{104CA721-8702-45A2-BC64-0EC143F0B354}" presName="Name35" presStyleLbl="parChTrans1D4" presStyleIdx="1" presStyleCnt="2"/>
      <dgm:spPr/>
      <dgm:t>
        <a:bodyPr/>
        <a:lstStyle/>
        <a:p>
          <a:endParaRPr lang="es-CL"/>
        </a:p>
      </dgm:t>
    </dgm:pt>
    <dgm:pt modelId="{435F75C5-CC72-4EE3-A7E9-4B912A4DDE08}" type="pres">
      <dgm:prSet presAssocID="{8F53438B-D12E-46F1-A53B-107B72A4B47D}" presName="hierRoot2" presStyleCnt="0">
        <dgm:presLayoutVars>
          <dgm:hierBranch val="r"/>
        </dgm:presLayoutVars>
      </dgm:prSet>
      <dgm:spPr/>
    </dgm:pt>
    <dgm:pt modelId="{A89073DA-29ED-4B10-A0B2-7C034D05CB65}" type="pres">
      <dgm:prSet presAssocID="{8F53438B-D12E-46F1-A53B-107B72A4B47D}" presName="rootComposite" presStyleCnt="0"/>
      <dgm:spPr/>
    </dgm:pt>
    <dgm:pt modelId="{C269B549-FF0E-45E9-8D02-6037906E589C}" type="pres">
      <dgm:prSet presAssocID="{8F53438B-D12E-46F1-A53B-107B72A4B47D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F73937C1-883D-4462-84A6-705613AC0D5D}" type="pres">
      <dgm:prSet presAssocID="{8F53438B-D12E-46F1-A53B-107B72A4B47D}" presName="rootConnector" presStyleLbl="node4" presStyleIdx="1" presStyleCnt="2"/>
      <dgm:spPr/>
      <dgm:t>
        <a:bodyPr/>
        <a:lstStyle/>
        <a:p>
          <a:endParaRPr lang="es-CL"/>
        </a:p>
      </dgm:t>
    </dgm:pt>
    <dgm:pt modelId="{83788E95-8CE5-430D-AF69-6BEA815C15AE}" type="pres">
      <dgm:prSet presAssocID="{8F53438B-D12E-46F1-A53B-107B72A4B47D}" presName="hierChild4" presStyleCnt="0"/>
      <dgm:spPr/>
    </dgm:pt>
    <dgm:pt modelId="{FB00A18F-1AD4-4D99-8835-5835157F33E9}" type="pres">
      <dgm:prSet presAssocID="{8F53438B-D12E-46F1-A53B-107B72A4B47D}" presName="hierChild5" presStyleCnt="0"/>
      <dgm:spPr/>
    </dgm:pt>
    <dgm:pt modelId="{82A81B58-21AF-48E0-BD62-901569AC5848}" type="pres">
      <dgm:prSet presAssocID="{7A9793D4-11AF-4718-ABD4-87590BE50E52}" presName="hierChild5" presStyleCnt="0"/>
      <dgm:spPr/>
    </dgm:pt>
    <dgm:pt modelId="{20D07760-5ED3-4994-9433-734D8C06FFB4}" type="pres">
      <dgm:prSet presAssocID="{0B0B4711-6F97-4083-A3AA-F9ACFC85B4ED}" presName="hierChild5" presStyleCnt="0"/>
      <dgm:spPr/>
    </dgm:pt>
    <dgm:pt modelId="{E0BF9CB5-B77E-426F-9388-35FF4913D14A}" type="pres">
      <dgm:prSet presAssocID="{09FB74F5-7912-4224-94AD-32B3420FE63B}" presName="hierChild3" presStyleCnt="0"/>
      <dgm:spPr/>
    </dgm:pt>
  </dgm:ptLst>
  <dgm:cxnLst>
    <dgm:cxn modelId="{97D2D7B6-2854-40E3-BC95-CCA638C1BE86}" srcId="{7A9793D4-11AF-4718-ABD4-87590BE50E52}" destId="{52C01F92-3786-4354-8D8E-354527C8BF70}" srcOrd="0" destOrd="0" parTransId="{5C1742BA-50A9-4E5B-A67A-9C7681501368}" sibTransId="{3467D2E9-22C5-4375-A1FC-C77AC991CD57}"/>
    <dgm:cxn modelId="{00FA04D9-963E-4D47-938E-87B89D87C538}" type="presOf" srcId="{4F29EEDE-0A3E-48A8-B53B-32AF33FE52B5}" destId="{20F27AFD-E43E-424B-861C-7DC98516183E}" srcOrd="0" destOrd="0" presId="urn:microsoft.com/office/officeart/2005/8/layout/orgChart1"/>
    <dgm:cxn modelId="{F848D0F7-1247-4EB6-AD9C-497DF87C8110}" type="presOf" srcId="{0B0B4711-6F97-4083-A3AA-F9ACFC85B4ED}" destId="{EBE5AB80-A103-4787-8B39-2BA99D0987B4}" srcOrd="1" destOrd="0" presId="urn:microsoft.com/office/officeart/2005/8/layout/orgChart1"/>
    <dgm:cxn modelId="{8B839EED-36AF-4E6B-B747-AB2A617163DE}" srcId="{3F9229BC-A2E1-4552-822E-F1AA11B626A5}" destId="{09FB74F5-7912-4224-94AD-32B3420FE63B}" srcOrd="0" destOrd="0" parTransId="{A3EB6AFA-47A4-4C97-B2BA-9CDF669C9C15}" sibTransId="{65A91BEA-2575-4AF7-AB07-F06787C9608D}"/>
    <dgm:cxn modelId="{3B63812C-0352-4F80-879A-63FD7B2BC982}" type="presOf" srcId="{5C1742BA-50A9-4E5B-A67A-9C7681501368}" destId="{B32AF4BB-DD45-4AA3-A701-623AD1992A27}" srcOrd="0" destOrd="0" presId="urn:microsoft.com/office/officeart/2005/8/layout/orgChart1"/>
    <dgm:cxn modelId="{AADCCFB9-C8F7-4185-BB6E-72B5906D911B}" type="presOf" srcId="{09FB74F5-7912-4224-94AD-32B3420FE63B}" destId="{009A0C5F-1A73-4CC8-BAAB-3B555AF5E6F4}" srcOrd="0" destOrd="0" presId="urn:microsoft.com/office/officeart/2005/8/layout/orgChart1"/>
    <dgm:cxn modelId="{3C45CC34-82F3-40E3-89A7-D6397F768802}" type="presOf" srcId="{52C01F92-3786-4354-8D8E-354527C8BF70}" destId="{FE4B606A-4D53-424E-8FE2-3E0282CA6A50}" srcOrd="1" destOrd="0" presId="urn:microsoft.com/office/officeart/2005/8/layout/orgChart1"/>
    <dgm:cxn modelId="{0C58083E-B157-49E4-9590-7BFD882DE15D}" type="presOf" srcId="{09FB74F5-7912-4224-94AD-32B3420FE63B}" destId="{20C3DA3F-59D6-4B58-8BB1-8BDAF9A70A9E}" srcOrd="1" destOrd="0" presId="urn:microsoft.com/office/officeart/2005/8/layout/orgChart1"/>
    <dgm:cxn modelId="{A1B35722-996B-4E06-91EC-771B8E201414}" type="presOf" srcId="{7A9793D4-11AF-4718-ABD4-87590BE50E52}" destId="{03E7C04C-1E01-4D2B-8C69-B04F91DDD0BE}" srcOrd="1" destOrd="0" presId="urn:microsoft.com/office/officeart/2005/8/layout/orgChart1"/>
    <dgm:cxn modelId="{2867C23F-AD1F-4675-8716-F7D7C3605CA0}" type="presOf" srcId="{8F53438B-D12E-46F1-A53B-107B72A4B47D}" destId="{F73937C1-883D-4462-84A6-705613AC0D5D}" srcOrd="1" destOrd="0" presId="urn:microsoft.com/office/officeart/2005/8/layout/orgChart1"/>
    <dgm:cxn modelId="{A17A4DDD-D1A6-4703-A845-B9389C4E325E}" type="presOf" srcId="{8F53438B-D12E-46F1-A53B-107B72A4B47D}" destId="{C269B549-FF0E-45E9-8D02-6037906E589C}" srcOrd="0" destOrd="0" presId="urn:microsoft.com/office/officeart/2005/8/layout/orgChart1"/>
    <dgm:cxn modelId="{3A3A16F2-80DF-4258-AE5F-F95286D0621F}" srcId="{09FB74F5-7912-4224-94AD-32B3420FE63B}" destId="{0B0B4711-6F97-4083-A3AA-F9ACFC85B4ED}" srcOrd="0" destOrd="0" parTransId="{4F29EEDE-0A3E-48A8-B53B-32AF33FE52B5}" sibTransId="{FAFB247F-0DE2-4226-956B-7C0E4B080C81}"/>
    <dgm:cxn modelId="{96D07710-5484-4547-8797-F45B25C51389}" type="presOf" srcId="{0B0B4711-6F97-4083-A3AA-F9ACFC85B4ED}" destId="{2996659C-5BBA-4CD7-B7BA-5EBE7EF3FFF4}" srcOrd="0" destOrd="0" presId="urn:microsoft.com/office/officeart/2005/8/layout/orgChart1"/>
    <dgm:cxn modelId="{7D6CF263-6D5F-48A2-BAC8-677F0A5AB094}" srcId="{7A9793D4-11AF-4718-ABD4-87590BE50E52}" destId="{8F53438B-D12E-46F1-A53B-107B72A4B47D}" srcOrd="1" destOrd="0" parTransId="{104CA721-8702-45A2-BC64-0EC143F0B354}" sibTransId="{02900259-CD24-4D8C-BF7F-4CDCF995327D}"/>
    <dgm:cxn modelId="{A31A6557-93BC-43C5-B402-EE85F6BB41BC}" type="presOf" srcId="{52C01F92-3786-4354-8D8E-354527C8BF70}" destId="{A9014207-50B8-494F-AE0C-7F81B553CD6F}" srcOrd="0" destOrd="0" presId="urn:microsoft.com/office/officeart/2005/8/layout/orgChart1"/>
    <dgm:cxn modelId="{DB4C23A8-CFC9-4F4B-BECF-FB3E003A71C3}" type="presOf" srcId="{7A9793D4-11AF-4718-ABD4-87590BE50E52}" destId="{ECED4E42-24C9-40A7-984F-E812135D1AE7}" srcOrd="0" destOrd="0" presId="urn:microsoft.com/office/officeart/2005/8/layout/orgChart1"/>
    <dgm:cxn modelId="{EAD9CCD0-E3B2-4E83-8F1B-ACDDD888912E}" type="presOf" srcId="{104CA721-8702-45A2-BC64-0EC143F0B354}" destId="{EAE340C5-6C84-4A0A-9CF4-8BF1040A0133}" srcOrd="0" destOrd="0" presId="urn:microsoft.com/office/officeart/2005/8/layout/orgChart1"/>
    <dgm:cxn modelId="{D57CFD1A-1C7C-4A90-A002-AF5C37A07BF2}" type="presOf" srcId="{3F9229BC-A2E1-4552-822E-F1AA11B626A5}" destId="{99AA4E44-F3C9-4A95-96D7-0FA1F134CB65}" srcOrd="0" destOrd="0" presId="urn:microsoft.com/office/officeart/2005/8/layout/orgChart1"/>
    <dgm:cxn modelId="{9AD45E0C-B93B-4626-89DB-183EB6A8F8A0}" type="presOf" srcId="{14BE28C2-9A1F-4416-A4B8-BC7A347146D9}" destId="{74FED0ED-859D-43E8-BBD0-D904D930A6D4}" srcOrd="0" destOrd="0" presId="urn:microsoft.com/office/officeart/2005/8/layout/orgChart1"/>
    <dgm:cxn modelId="{8C562FF8-2C3A-4C72-9B0F-95531BF44129}" srcId="{0B0B4711-6F97-4083-A3AA-F9ACFC85B4ED}" destId="{7A9793D4-11AF-4718-ABD4-87590BE50E52}" srcOrd="0" destOrd="0" parTransId="{14BE28C2-9A1F-4416-A4B8-BC7A347146D9}" sibTransId="{02A65CE2-9DBB-4EC2-842D-1ABA619BD19F}"/>
    <dgm:cxn modelId="{0A490D8C-6D2A-40EF-9110-EEFF1D25DA26}" type="presParOf" srcId="{99AA4E44-F3C9-4A95-96D7-0FA1F134CB65}" destId="{96288CCE-E486-48C3-A31A-9A50D44E5FE1}" srcOrd="0" destOrd="0" presId="urn:microsoft.com/office/officeart/2005/8/layout/orgChart1"/>
    <dgm:cxn modelId="{13D34454-6A60-4EE4-B959-04F07DB03375}" type="presParOf" srcId="{96288CCE-E486-48C3-A31A-9A50D44E5FE1}" destId="{6B23CD29-B18C-4543-A07B-B1D53BCFEADC}" srcOrd="0" destOrd="0" presId="urn:microsoft.com/office/officeart/2005/8/layout/orgChart1"/>
    <dgm:cxn modelId="{D69EC4E2-8B3B-4387-A5E9-662D76A1E225}" type="presParOf" srcId="{6B23CD29-B18C-4543-A07B-B1D53BCFEADC}" destId="{009A0C5F-1A73-4CC8-BAAB-3B555AF5E6F4}" srcOrd="0" destOrd="0" presId="urn:microsoft.com/office/officeart/2005/8/layout/orgChart1"/>
    <dgm:cxn modelId="{A1A7E680-AAE3-4D28-AB4E-F45167627745}" type="presParOf" srcId="{6B23CD29-B18C-4543-A07B-B1D53BCFEADC}" destId="{20C3DA3F-59D6-4B58-8BB1-8BDAF9A70A9E}" srcOrd="1" destOrd="0" presId="urn:microsoft.com/office/officeart/2005/8/layout/orgChart1"/>
    <dgm:cxn modelId="{6BA18E15-DFBD-44EE-B59A-294B616AC6E1}" type="presParOf" srcId="{96288CCE-E486-48C3-A31A-9A50D44E5FE1}" destId="{725766AA-F664-4203-9A85-C21DC824F391}" srcOrd="1" destOrd="0" presId="urn:microsoft.com/office/officeart/2005/8/layout/orgChart1"/>
    <dgm:cxn modelId="{5702ECA4-F381-4E1C-BF65-7AA71ABFDA58}" type="presParOf" srcId="{725766AA-F664-4203-9A85-C21DC824F391}" destId="{20F27AFD-E43E-424B-861C-7DC98516183E}" srcOrd="0" destOrd="0" presId="urn:microsoft.com/office/officeart/2005/8/layout/orgChart1"/>
    <dgm:cxn modelId="{CA4D4F35-66A2-47F2-AA76-D627733C4563}" type="presParOf" srcId="{725766AA-F664-4203-9A85-C21DC824F391}" destId="{EAE54605-E118-45E5-ADF4-CECC1E360AB0}" srcOrd="1" destOrd="0" presId="urn:microsoft.com/office/officeart/2005/8/layout/orgChart1"/>
    <dgm:cxn modelId="{C1AC76BB-37A2-4B74-9DE2-A50D6A91665B}" type="presParOf" srcId="{EAE54605-E118-45E5-ADF4-CECC1E360AB0}" destId="{7504D858-6E26-48B5-92A5-C8CB2FA2C820}" srcOrd="0" destOrd="0" presId="urn:microsoft.com/office/officeart/2005/8/layout/orgChart1"/>
    <dgm:cxn modelId="{B4A86C56-B8AA-4228-BA59-1BF827418E53}" type="presParOf" srcId="{7504D858-6E26-48B5-92A5-C8CB2FA2C820}" destId="{2996659C-5BBA-4CD7-B7BA-5EBE7EF3FFF4}" srcOrd="0" destOrd="0" presId="urn:microsoft.com/office/officeart/2005/8/layout/orgChart1"/>
    <dgm:cxn modelId="{1A381946-7CE6-4853-9439-35B4C9C6738B}" type="presParOf" srcId="{7504D858-6E26-48B5-92A5-C8CB2FA2C820}" destId="{EBE5AB80-A103-4787-8B39-2BA99D0987B4}" srcOrd="1" destOrd="0" presId="urn:microsoft.com/office/officeart/2005/8/layout/orgChart1"/>
    <dgm:cxn modelId="{0F143659-E136-4197-BE4B-BB5DD5D52413}" type="presParOf" srcId="{EAE54605-E118-45E5-ADF4-CECC1E360AB0}" destId="{D16A1447-07B0-429E-841A-F3E3DBE80DA1}" srcOrd="1" destOrd="0" presId="urn:microsoft.com/office/officeart/2005/8/layout/orgChart1"/>
    <dgm:cxn modelId="{09F2EF76-361E-4D93-8705-6122DAE6858F}" type="presParOf" srcId="{D16A1447-07B0-429E-841A-F3E3DBE80DA1}" destId="{74FED0ED-859D-43E8-BBD0-D904D930A6D4}" srcOrd="0" destOrd="0" presId="urn:microsoft.com/office/officeart/2005/8/layout/orgChart1"/>
    <dgm:cxn modelId="{A156DFD4-459C-4C67-8080-91D64B35F304}" type="presParOf" srcId="{D16A1447-07B0-429E-841A-F3E3DBE80DA1}" destId="{9DCB9338-2733-4304-AAFE-18D17879974D}" srcOrd="1" destOrd="0" presId="urn:microsoft.com/office/officeart/2005/8/layout/orgChart1"/>
    <dgm:cxn modelId="{78E4B0A6-EC8F-4FD7-A8FF-8E03BC811A71}" type="presParOf" srcId="{9DCB9338-2733-4304-AAFE-18D17879974D}" destId="{0E4D7BE4-0361-405A-970D-026E246F5D0E}" srcOrd="0" destOrd="0" presId="urn:microsoft.com/office/officeart/2005/8/layout/orgChart1"/>
    <dgm:cxn modelId="{3F51A1CD-7C40-407A-9913-87265047D327}" type="presParOf" srcId="{0E4D7BE4-0361-405A-970D-026E246F5D0E}" destId="{ECED4E42-24C9-40A7-984F-E812135D1AE7}" srcOrd="0" destOrd="0" presId="urn:microsoft.com/office/officeart/2005/8/layout/orgChart1"/>
    <dgm:cxn modelId="{AFDD60E9-1933-452E-AA15-5D977867FCC2}" type="presParOf" srcId="{0E4D7BE4-0361-405A-970D-026E246F5D0E}" destId="{03E7C04C-1E01-4D2B-8C69-B04F91DDD0BE}" srcOrd="1" destOrd="0" presId="urn:microsoft.com/office/officeart/2005/8/layout/orgChart1"/>
    <dgm:cxn modelId="{7C7C38EF-08B4-4202-AF95-7793008E034B}" type="presParOf" srcId="{9DCB9338-2733-4304-AAFE-18D17879974D}" destId="{FEE27685-9C08-40F9-831F-A389BB5DB6C4}" srcOrd="1" destOrd="0" presId="urn:microsoft.com/office/officeart/2005/8/layout/orgChart1"/>
    <dgm:cxn modelId="{6252A225-8B2B-4E36-AE68-64B09975CF8B}" type="presParOf" srcId="{FEE27685-9C08-40F9-831F-A389BB5DB6C4}" destId="{B32AF4BB-DD45-4AA3-A701-623AD1992A27}" srcOrd="0" destOrd="0" presId="urn:microsoft.com/office/officeart/2005/8/layout/orgChart1"/>
    <dgm:cxn modelId="{92A49C5D-2B47-427A-9A22-3D3A1A25DF92}" type="presParOf" srcId="{FEE27685-9C08-40F9-831F-A389BB5DB6C4}" destId="{49EE5B36-70C5-4498-B8FA-244BC2EC8630}" srcOrd="1" destOrd="0" presId="urn:microsoft.com/office/officeart/2005/8/layout/orgChart1"/>
    <dgm:cxn modelId="{643A1E5A-0DD3-4678-BE5A-60E9B266390B}" type="presParOf" srcId="{49EE5B36-70C5-4498-B8FA-244BC2EC8630}" destId="{FB96DD91-5F6A-45D2-8A9B-E2AA5757BA84}" srcOrd="0" destOrd="0" presId="urn:microsoft.com/office/officeart/2005/8/layout/orgChart1"/>
    <dgm:cxn modelId="{83D5F2C8-AE83-4C45-8D5B-A0FF462F8EAD}" type="presParOf" srcId="{FB96DD91-5F6A-45D2-8A9B-E2AA5757BA84}" destId="{A9014207-50B8-494F-AE0C-7F81B553CD6F}" srcOrd="0" destOrd="0" presId="urn:microsoft.com/office/officeart/2005/8/layout/orgChart1"/>
    <dgm:cxn modelId="{9724591F-6740-4F91-A338-7EC45C2A1603}" type="presParOf" srcId="{FB96DD91-5F6A-45D2-8A9B-E2AA5757BA84}" destId="{FE4B606A-4D53-424E-8FE2-3E0282CA6A50}" srcOrd="1" destOrd="0" presId="urn:microsoft.com/office/officeart/2005/8/layout/orgChart1"/>
    <dgm:cxn modelId="{3C982807-B9D3-462B-9073-56E71B847778}" type="presParOf" srcId="{49EE5B36-70C5-4498-B8FA-244BC2EC8630}" destId="{1D847D6E-267F-45EA-B00C-169C02729FAB}" srcOrd="1" destOrd="0" presId="urn:microsoft.com/office/officeart/2005/8/layout/orgChart1"/>
    <dgm:cxn modelId="{992EE494-AA07-4E3B-B9A9-533D8576A23A}" type="presParOf" srcId="{49EE5B36-70C5-4498-B8FA-244BC2EC8630}" destId="{F644D519-0ABE-4838-9601-476054E8060D}" srcOrd="2" destOrd="0" presId="urn:microsoft.com/office/officeart/2005/8/layout/orgChart1"/>
    <dgm:cxn modelId="{3DE2110B-BEE8-4E7B-A4F8-FD80D056E313}" type="presParOf" srcId="{FEE27685-9C08-40F9-831F-A389BB5DB6C4}" destId="{EAE340C5-6C84-4A0A-9CF4-8BF1040A0133}" srcOrd="2" destOrd="0" presId="urn:microsoft.com/office/officeart/2005/8/layout/orgChart1"/>
    <dgm:cxn modelId="{3376277E-7079-4582-85BC-B0CAA6F96767}" type="presParOf" srcId="{FEE27685-9C08-40F9-831F-A389BB5DB6C4}" destId="{435F75C5-CC72-4EE3-A7E9-4B912A4DDE08}" srcOrd="3" destOrd="0" presId="urn:microsoft.com/office/officeart/2005/8/layout/orgChart1"/>
    <dgm:cxn modelId="{06D417B3-A4E1-4E21-B3E1-6944B41E9ECC}" type="presParOf" srcId="{435F75C5-CC72-4EE3-A7E9-4B912A4DDE08}" destId="{A89073DA-29ED-4B10-A0B2-7C034D05CB65}" srcOrd="0" destOrd="0" presId="urn:microsoft.com/office/officeart/2005/8/layout/orgChart1"/>
    <dgm:cxn modelId="{07EB6B18-3CD8-4667-8EC0-CFD117068D51}" type="presParOf" srcId="{A89073DA-29ED-4B10-A0B2-7C034D05CB65}" destId="{C269B549-FF0E-45E9-8D02-6037906E589C}" srcOrd="0" destOrd="0" presId="urn:microsoft.com/office/officeart/2005/8/layout/orgChart1"/>
    <dgm:cxn modelId="{C175C49A-425F-4F5E-BD90-0030F8DDE440}" type="presParOf" srcId="{A89073DA-29ED-4B10-A0B2-7C034D05CB65}" destId="{F73937C1-883D-4462-84A6-705613AC0D5D}" srcOrd="1" destOrd="0" presId="urn:microsoft.com/office/officeart/2005/8/layout/orgChart1"/>
    <dgm:cxn modelId="{9B6CB4FF-4064-4425-9EF0-3C0021CCEB4E}" type="presParOf" srcId="{435F75C5-CC72-4EE3-A7E9-4B912A4DDE08}" destId="{83788E95-8CE5-430D-AF69-6BEA815C15AE}" srcOrd="1" destOrd="0" presId="urn:microsoft.com/office/officeart/2005/8/layout/orgChart1"/>
    <dgm:cxn modelId="{CF686EF7-BC38-4B8D-8542-A3378EF9CE22}" type="presParOf" srcId="{435F75C5-CC72-4EE3-A7E9-4B912A4DDE08}" destId="{FB00A18F-1AD4-4D99-8835-5835157F33E9}" srcOrd="2" destOrd="0" presId="urn:microsoft.com/office/officeart/2005/8/layout/orgChart1"/>
    <dgm:cxn modelId="{A1A53670-A817-46A8-9227-3DF5D4845145}" type="presParOf" srcId="{9DCB9338-2733-4304-AAFE-18D17879974D}" destId="{82A81B58-21AF-48E0-BD62-901569AC5848}" srcOrd="2" destOrd="0" presId="urn:microsoft.com/office/officeart/2005/8/layout/orgChart1"/>
    <dgm:cxn modelId="{786083D0-57D4-4209-9D8B-90871AE60746}" type="presParOf" srcId="{EAE54605-E118-45E5-ADF4-CECC1E360AB0}" destId="{20D07760-5ED3-4994-9433-734D8C06FFB4}" srcOrd="2" destOrd="0" presId="urn:microsoft.com/office/officeart/2005/8/layout/orgChart1"/>
    <dgm:cxn modelId="{2F9D983B-8981-48DA-8014-6461240E564B}" type="presParOf" srcId="{96288CCE-E486-48C3-A31A-9A50D44E5FE1}" destId="{E0BF9CB5-B77E-426F-9388-35FF4913D14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E340C5-6C84-4A0A-9CF4-8BF1040A0133}">
      <dsp:nvSpPr>
        <dsp:cNvPr id="0" name=""/>
        <dsp:cNvSpPr/>
      </dsp:nvSpPr>
      <dsp:spPr>
        <a:xfrm>
          <a:off x="1027475" y="2707615"/>
          <a:ext cx="562283" cy="195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586"/>
              </a:lnTo>
              <a:lnTo>
                <a:pt x="562283" y="97586"/>
              </a:lnTo>
              <a:lnTo>
                <a:pt x="562283" y="1951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AF4BB-DD45-4AA3-A701-623AD1992A27}">
      <dsp:nvSpPr>
        <dsp:cNvPr id="0" name=""/>
        <dsp:cNvSpPr/>
      </dsp:nvSpPr>
      <dsp:spPr>
        <a:xfrm>
          <a:off x="465192" y="2707615"/>
          <a:ext cx="562283" cy="195172"/>
        </a:xfrm>
        <a:custGeom>
          <a:avLst/>
          <a:gdLst/>
          <a:ahLst/>
          <a:cxnLst/>
          <a:rect l="0" t="0" r="0" b="0"/>
          <a:pathLst>
            <a:path>
              <a:moveTo>
                <a:pt x="562283" y="0"/>
              </a:moveTo>
              <a:lnTo>
                <a:pt x="562283" y="97586"/>
              </a:lnTo>
              <a:lnTo>
                <a:pt x="0" y="97586"/>
              </a:lnTo>
              <a:lnTo>
                <a:pt x="0" y="19517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ED0ED-859D-43E8-BBD0-D904D930A6D4}">
      <dsp:nvSpPr>
        <dsp:cNvPr id="0" name=""/>
        <dsp:cNvSpPr/>
      </dsp:nvSpPr>
      <dsp:spPr>
        <a:xfrm>
          <a:off x="981755" y="1846486"/>
          <a:ext cx="91440" cy="1951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17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7AFD-E43E-424B-861C-7DC98516183E}">
      <dsp:nvSpPr>
        <dsp:cNvPr id="0" name=""/>
        <dsp:cNvSpPr/>
      </dsp:nvSpPr>
      <dsp:spPr>
        <a:xfrm>
          <a:off x="981755" y="800750"/>
          <a:ext cx="91440" cy="1951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17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9A0C5F-1A73-4CC8-BAAB-3B555AF5E6F4}">
      <dsp:nvSpPr>
        <dsp:cNvPr id="0" name=""/>
        <dsp:cNvSpPr/>
      </dsp:nvSpPr>
      <dsp:spPr>
        <a:xfrm>
          <a:off x="428114" y="98979"/>
          <a:ext cx="1198722" cy="70177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Jefe/a de Servicio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Intendente/a</a:t>
          </a:r>
          <a:endParaRPr lang="es-CL" sz="1000" kern="1200" smtClean="0"/>
        </a:p>
      </dsp:txBody>
      <dsp:txXfrm>
        <a:off x="428114" y="98979"/>
        <a:ext cx="1198722" cy="701771"/>
      </dsp:txXfrm>
    </dsp:sp>
    <dsp:sp modelId="{2996659C-5BBA-4CD7-B7BA-5EBE7EF3FFF4}">
      <dsp:nvSpPr>
        <dsp:cNvPr id="0" name=""/>
        <dsp:cNvSpPr/>
      </dsp:nvSpPr>
      <dsp:spPr>
        <a:xfrm>
          <a:off x="247356" y="995923"/>
          <a:ext cx="1560238" cy="85056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Encargado/a de Riesgos</a:t>
          </a:r>
        </a:p>
        <a:p>
          <a:pPr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Jefatura División de Administración y Finanzas</a:t>
          </a:r>
          <a:endParaRPr lang="es-CL" sz="1000" kern="1200"/>
        </a:p>
      </dsp:txBody>
      <dsp:txXfrm>
        <a:off x="247356" y="995923"/>
        <a:ext cx="1560238" cy="850562"/>
      </dsp:txXfrm>
    </dsp:sp>
    <dsp:sp modelId="{ECED4E42-24C9-40A7-984F-E812135D1AE7}">
      <dsp:nvSpPr>
        <dsp:cNvPr id="0" name=""/>
        <dsp:cNvSpPr/>
      </dsp:nvSpPr>
      <dsp:spPr>
        <a:xfrm>
          <a:off x="114164" y="2041658"/>
          <a:ext cx="1826621" cy="66595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kern="1200" smtClean="0">
              <a:latin typeface="Arial" pitchFamily="34" charset="0"/>
              <a:cs typeface="Arial" pitchFamily="34" charset="0"/>
            </a:rPr>
            <a:t>Secretaría Ejecutiva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b="1" kern="1200" smtClean="0">
              <a:latin typeface="Arial" pitchFamily="34" charset="0"/>
              <a:cs typeface="Arial" pitchFamily="34" charset="0"/>
            </a:rPr>
            <a:t>Jefatura Departamento de Planificación y Control Institucional</a:t>
          </a:r>
        </a:p>
      </dsp:txBody>
      <dsp:txXfrm>
        <a:off x="114164" y="2041658"/>
        <a:ext cx="1826621" cy="665957"/>
      </dsp:txXfrm>
    </dsp:sp>
    <dsp:sp modelId="{A9014207-50B8-494F-AE0C-7F81B553CD6F}">
      <dsp:nvSpPr>
        <dsp:cNvPr id="0" name=""/>
        <dsp:cNvSpPr/>
      </dsp:nvSpPr>
      <dsp:spPr>
        <a:xfrm>
          <a:off x="495" y="2902788"/>
          <a:ext cx="929393" cy="4646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Comité de Riesgos</a:t>
          </a:r>
          <a:endParaRPr lang="es-CL" sz="1000" kern="1200" smtClean="0"/>
        </a:p>
      </dsp:txBody>
      <dsp:txXfrm>
        <a:off x="495" y="2902788"/>
        <a:ext cx="929393" cy="464696"/>
      </dsp:txXfrm>
    </dsp:sp>
    <dsp:sp modelId="{C269B549-FF0E-45E9-8D02-6037906E589C}">
      <dsp:nvSpPr>
        <dsp:cNvPr id="0" name=""/>
        <dsp:cNvSpPr/>
      </dsp:nvSpPr>
      <dsp:spPr>
        <a:xfrm>
          <a:off x="1125061" y="2902788"/>
          <a:ext cx="929393" cy="464696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 baseline="0" smtClean="0">
              <a:latin typeface="Arial"/>
            </a:rPr>
            <a:t>Coordinadores de Riesgo</a:t>
          </a:r>
          <a:endParaRPr lang="es-CL" sz="1000" kern="1200" smtClean="0"/>
        </a:p>
      </dsp:txBody>
      <dsp:txXfrm>
        <a:off x="1125061" y="2902788"/>
        <a:ext cx="929393" cy="464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5F2D-4DA1-4936-B78A-5FF08B04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1724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Benussi</dc:creator>
  <cp:lastModifiedBy>Carolina Paz Hidalgo Mandujano</cp:lastModifiedBy>
  <cp:revision>24</cp:revision>
  <cp:lastPrinted>2017-04-27T18:08:00Z</cp:lastPrinted>
  <dcterms:created xsi:type="dcterms:W3CDTF">2019-04-11T13:53:00Z</dcterms:created>
  <dcterms:modified xsi:type="dcterms:W3CDTF">2019-04-12T23:57:00Z</dcterms:modified>
</cp:coreProperties>
</file>